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37" w:rsidRDefault="0069377C" w:rsidP="00773144">
      <w:pPr>
        <w:spacing w:after="120" w:line="288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436A67" wp14:editId="0E55B47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2988" cy="10681090"/>
            <wp:effectExtent l="0" t="0" r="0" b="6350"/>
            <wp:wrapNone/>
            <wp:docPr id="5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043" cy="1069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A37" w:rsidRDefault="00B32A37">
      <w:pPr>
        <w:spacing w:after="160" w:line="259" w:lineRule="auto"/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01072" wp14:editId="31E3D13D">
                <wp:simplePos x="0" y="0"/>
                <wp:positionH relativeFrom="margin">
                  <wp:align>left</wp:align>
                </wp:positionH>
                <wp:positionV relativeFrom="paragraph">
                  <wp:posOffset>761383</wp:posOffset>
                </wp:positionV>
                <wp:extent cx="5448935" cy="1823191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18231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A37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1E9664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1E9664"/>
                                <w:sz w:val="60"/>
                                <w:szCs w:val="60"/>
                                <w:lang w:val="en-US"/>
                              </w:rPr>
                              <w:t>CASE ALLOCATION MODEL</w:t>
                            </w:r>
                          </w:p>
                          <w:p w:rsidR="00B32A37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3C37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B32A37" w:rsidRPr="00A640E8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3C37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A640E8">
                              <w:rPr>
                                <w:rFonts w:ascii="Arial Black" w:hAnsi="Arial Black"/>
                                <w:b/>
                                <w:bCs/>
                                <w:color w:val="0F3C37"/>
                                <w:sz w:val="30"/>
                                <w:szCs w:val="30"/>
                                <w:lang w:val="en-US"/>
                              </w:rPr>
                              <w:t>Legacy Investigation Branch</w:t>
                            </w:r>
                          </w:p>
                          <w:p w:rsidR="00B32A37" w:rsidRPr="00E84AE0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1E9664"/>
                                <w:sz w:val="60"/>
                                <w:szCs w:val="60"/>
                                <w:lang w:val="en-US"/>
                              </w:rPr>
                            </w:pPr>
                          </w:p>
                          <w:p w:rsidR="00B32A37" w:rsidRPr="00E84AE0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1E9664"/>
                                <w:sz w:val="60"/>
                                <w:szCs w:val="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1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95pt;width:429.05pt;height:143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" fillcolor="window" stroked="f" strokeweight=".5pt">
                <v:path arrowok="t"/>
                <v:textbox>
                  <w:txbxContent>
                    <w:p w:rsidR="00B32A37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color w:val="1E9664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1E9664"/>
                          <w:sz w:val="60"/>
                          <w:szCs w:val="60"/>
                          <w:lang w:val="en-US"/>
                        </w:rPr>
                        <w:t>CASE ALLOCATION MODEL</w:t>
                      </w:r>
                    </w:p>
                    <w:p w:rsidR="00B32A37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color w:val="0F3C37"/>
                          <w:sz w:val="30"/>
                          <w:szCs w:val="30"/>
                          <w:lang w:val="en-US"/>
                        </w:rPr>
                      </w:pPr>
                    </w:p>
                    <w:p w:rsidR="00B32A37" w:rsidRPr="00A640E8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color w:val="0F3C37"/>
                          <w:sz w:val="30"/>
                          <w:szCs w:val="30"/>
                          <w:lang w:val="en-US"/>
                        </w:rPr>
                      </w:pPr>
                      <w:r w:rsidRPr="00A640E8">
                        <w:rPr>
                          <w:rFonts w:ascii="Arial Black" w:hAnsi="Arial Black"/>
                          <w:b/>
                          <w:bCs/>
                          <w:color w:val="0F3C37"/>
                          <w:sz w:val="30"/>
                          <w:szCs w:val="30"/>
                          <w:lang w:val="en-US"/>
                        </w:rPr>
                        <w:t>Legacy Investigation Branch</w:t>
                      </w:r>
                    </w:p>
                    <w:p w:rsidR="00B32A37" w:rsidRPr="00E84AE0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color w:val="1E9664"/>
                          <w:sz w:val="60"/>
                          <w:szCs w:val="60"/>
                          <w:lang w:val="en-US"/>
                        </w:rPr>
                      </w:pPr>
                    </w:p>
                    <w:p w:rsidR="00B32A37" w:rsidRPr="00E84AE0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color w:val="1E9664"/>
                          <w:sz w:val="60"/>
                          <w:szCs w:val="6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2A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C863F" wp14:editId="33670D68">
                <wp:simplePos x="0" y="0"/>
                <wp:positionH relativeFrom="column">
                  <wp:posOffset>-33000</wp:posOffset>
                </wp:positionH>
                <wp:positionV relativeFrom="paragraph">
                  <wp:posOffset>4099805</wp:posOffset>
                </wp:positionV>
                <wp:extent cx="5749471" cy="221615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9471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522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5153"/>
                            </w:tblGrid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Ownership: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</w:rPr>
                                    <w:t>Legacy Investigation Branch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</w:rPr>
                                    <w:t>Deputy Head of Legacy Investigation Branch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Approved by: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</w:rPr>
                                    <w:t>Head of Legacy Investigation Branch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Version Number: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Date this Version Issued: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March 2025 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Review Date: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</w:rPr>
                                    <w:t>Annually</w:t>
                                  </w:r>
                                </w:p>
                              </w:tc>
                            </w:tr>
                            <w:tr w:rsidR="00B32A37" w:rsidRPr="005B70CF" w:rsidTr="005B70CF">
                              <w:tc>
                                <w:tcPr>
                                  <w:tcW w:w="3369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  <w:b/>
                                    </w:rPr>
                                    <w:t>Protecting Marking: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shd w:val="clear" w:color="auto" w:fill="auto"/>
                                </w:tcPr>
                                <w:p w:rsidR="00B32A37" w:rsidRPr="005B70CF" w:rsidRDefault="00B32A37" w:rsidP="005B70CF">
                                  <w:pPr>
                                    <w:keepLines/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B70CF">
                                    <w:rPr>
                                      <w:rFonts w:ascii="Arial" w:hAnsi="Arial" w:cs="Arial"/>
                                    </w:rPr>
                                    <w:t>OFFICIAL [PUBLIC]</w:t>
                                  </w:r>
                                </w:p>
                              </w:tc>
                            </w:tr>
                          </w:tbl>
                          <w:p w:rsidR="00B32A37" w:rsidRPr="00E84AE0" w:rsidRDefault="00B32A37" w:rsidP="00B32A37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86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.6pt;margin-top:322.8pt;width:452.7pt;height:1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" fillcolor="window" stroked="f" strokeweight=".5pt">
                <v:path arrowok="t"/>
                <v:textbox>
                  <w:txbxContent>
                    <w:tbl>
                      <w:tblPr>
                        <w:tblW w:w="8522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5153"/>
                      </w:tblGrid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Ownership: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</w:rPr>
                              <w:t>Legacy Investigation Branch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</w:rPr>
                              <w:t>Deputy Head of Legacy Investigation Branch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Approved by: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</w:rPr>
                              <w:t>Head of Legacy Investigation Branch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Version Number: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Date this Version Issued: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March 2025 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Review Date: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</w:rPr>
                              <w:t>Annually</w:t>
                            </w:r>
                          </w:p>
                        </w:tc>
                      </w:tr>
                      <w:tr w:rsidR="00B32A37" w:rsidRPr="005B70CF" w:rsidTr="005B70CF">
                        <w:tc>
                          <w:tcPr>
                            <w:tcW w:w="3369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  <w:b/>
                              </w:rPr>
                              <w:t>Protecting Marking:</w:t>
                            </w:r>
                          </w:p>
                        </w:tc>
                        <w:tc>
                          <w:tcPr>
                            <w:tcW w:w="5153" w:type="dxa"/>
                            <w:shd w:val="clear" w:color="auto" w:fill="auto"/>
                          </w:tcPr>
                          <w:p w:rsidR="00B32A37" w:rsidRPr="005B70CF" w:rsidRDefault="00B32A37" w:rsidP="005B70CF">
                            <w:pPr>
                              <w:keepLines/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5B70CF">
                              <w:rPr>
                                <w:rFonts w:ascii="Arial" w:hAnsi="Arial" w:cs="Arial"/>
                              </w:rPr>
                              <w:t>OFFICIAL [PUBLIC]</w:t>
                            </w:r>
                          </w:p>
                        </w:tc>
                      </w:tr>
                    </w:tbl>
                    <w:p w:rsidR="00B32A37" w:rsidRPr="00E84AE0" w:rsidRDefault="00B32A37" w:rsidP="00B32A37">
                      <w:pPr>
                        <w:rPr>
                          <w:rFonts w:ascii="Arial Black" w:hAnsi="Arial Black"/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  <w:br w:type="page"/>
      </w:r>
    </w:p>
    <w:p w:rsidR="00773144" w:rsidRPr="006D422E" w:rsidRDefault="00773144" w:rsidP="00773144">
      <w:pPr>
        <w:spacing w:after="120" w:line="288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  <w:lastRenderedPageBreak/>
        <w:t>Vision</w:t>
      </w:r>
    </w:p>
    <w:p w:rsidR="00773144" w:rsidRDefault="00773144" w:rsidP="00773144">
      <w:pPr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Legacy Investigation Branch (LIB) </w:t>
      </w:r>
      <w:r w:rsidRPr="00D34939">
        <w:rPr>
          <w:rFonts w:ascii="Arial" w:hAnsi="Arial" w:cs="Arial"/>
          <w:lang w:val="en-US"/>
        </w:rPr>
        <w:t>align</w:t>
      </w:r>
      <w:r>
        <w:rPr>
          <w:rFonts w:ascii="Arial" w:hAnsi="Arial" w:cs="Arial"/>
          <w:lang w:val="en-US"/>
        </w:rPr>
        <w:t>s</w:t>
      </w:r>
      <w:r w:rsidRPr="00D34939">
        <w:rPr>
          <w:rFonts w:ascii="Arial" w:hAnsi="Arial" w:cs="Arial"/>
          <w:lang w:val="en-US"/>
        </w:rPr>
        <w:t xml:space="preserve"> its work to contribute to the Chief Constable</w:t>
      </w:r>
      <w:r>
        <w:rPr>
          <w:rFonts w:ascii="Arial" w:hAnsi="Arial" w:cs="Arial"/>
          <w:lang w:val="en-US"/>
        </w:rPr>
        <w:t>’s</w:t>
      </w:r>
      <w:r w:rsidRPr="00D34939">
        <w:rPr>
          <w:rFonts w:ascii="Arial" w:hAnsi="Arial" w:cs="Arial"/>
          <w:lang w:val="en-US"/>
        </w:rPr>
        <w:t xml:space="preserve"> statutory commitments, whilst </w:t>
      </w:r>
      <w:r>
        <w:rPr>
          <w:rFonts w:ascii="Arial" w:hAnsi="Arial" w:cs="Arial"/>
          <w:lang w:val="en-US"/>
        </w:rPr>
        <w:t>also:</w:t>
      </w:r>
    </w:p>
    <w:p w:rsidR="00773144" w:rsidRPr="00A66917" w:rsidRDefault="00773144" w:rsidP="00773144">
      <w:pPr>
        <w:pStyle w:val="ListParagraph"/>
        <w:numPr>
          <w:ilvl w:val="0"/>
          <w:numId w:val="7"/>
        </w:numPr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Pr="00A66917">
        <w:rPr>
          <w:rFonts w:ascii="Arial" w:hAnsi="Arial" w:cs="Arial"/>
          <w:lang w:val="en-US"/>
        </w:rPr>
        <w:t>ngaging with families/representatives who have lost loved ones to ensure delivery of a victim-focused service</w:t>
      </w:r>
      <w:r>
        <w:rPr>
          <w:rFonts w:ascii="Arial" w:hAnsi="Arial" w:cs="Arial"/>
          <w:lang w:val="en-US"/>
        </w:rPr>
        <w:t>;</w:t>
      </w:r>
    </w:p>
    <w:p w:rsidR="00773144" w:rsidRDefault="00773144" w:rsidP="00773144">
      <w:pPr>
        <w:pStyle w:val="ListParagraph"/>
        <w:numPr>
          <w:ilvl w:val="0"/>
          <w:numId w:val="7"/>
        </w:numPr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Pr="00A66917">
        <w:rPr>
          <w:rFonts w:ascii="Arial" w:hAnsi="Arial" w:cs="Arial"/>
          <w:lang w:val="en-US"/>
        </w:rPr>
        <w:t>upporting contemporary policing through targeting those offenders causing harm in communities today</w:t>
      </w:r>
      <w:r>
        <w:rPr>
          <w:rFonts w:ascii="Arial" w:hAnsi="Arial" w:cs="Arial"/>
          <w:lang w:val="en-US"/>
        </w:rPr>
        <w:t>;</w:t>
      </w:r>
      <w:r w:rsidRPr="00A6691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</w:p>
    <w:p w:rsidR="00773144" w:rsidRDefault="00773144" w:rsidP="00773144">
      <w:pPr>
        <w:pStyle w:val="ListParagraph"/>
        <w:numPr>
          <w:ilvl w:val="0"/>
          <w:numId w:val="7"/>
        </w:numPr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Pr="00A66917">
        <w:rPr>
          <w:rFonts w:ascii="Arial" w:hAnsi="Arial" w:cs="Arial"/>
          <w:lang w:val="en-US"/>
        </w:rPr>
        <w:t>ecognising</w:t>
      </w:r>
      <w:r>
        <w:rPr>
          <w:rFonts w:ascii="Arial" w:hAnsi="Arial" w:cs="Arial"/>
          <w:lang w:val="en-US"/>
        </w:rPr>
        <w:t xml:space="preserve"> the </w:t>
      </w:r>
      <w:r w:rsidRPr="00A66917">
        <w:rPr>
          <w:rFonts w:ascii="Arial" w:hAnsi="Arial" w:cs="Arial"/>
          <w:lang w:val="en-US"/>
        </w:rPr>
        <w:t>interdependency with Inq</w:t>
      </w:r>
      <w:r>
        <w:rPr>
          <w:rFonts w:ascii="Arial" w:hAnsi="Arial" w:cs="Arial"/>
          <w:lang w:val="en-US"/>
        </w:rPr>
        <w:t>uests and other legal proceedings.</w:t>
      </w:r>
    </w:p>
    <w:p w:rsidR="00773144" w:rsidRDefault="00773144" w:rsidP="00773144">
      <w:pPr>
        <w:spacing w:after="120" w:line="288" w:lineRule="auto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:rsidR="00773144" w:rsidRPr="006D422E" w:rsidRDefault="00773144" w:rsidP="00773144">
      <w:pPr>
        <w:spacing w:after="120" w:line="288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  <w:t>Objective</w:t>
      </w:r>
    </w:p>
    <w:p w:rsidR="00773144" w:rsidRPr="00465D4B" w:rsidRDefault="00773144" w:rsidP="0077314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the</w:t>
      </w:r>
      <w:r w:rsidRPr="00465D4B">
        <w:rPr>
          <w:rFonts w:ascii="Arial" w:hAnsi="Arial" w:cs="Arial"/>
        </w:rPr>
        <w:t xml:space="preserve"> enactment of the Northern Ireland Troubles (Legacy and Reconciliation) Act 2023 and </w:t>
      </w:r>
      <w:r>
        <w:rPr>
          <w:rFonts w:ascii="Arial" w:hAnsi="Arial" w:cs="Arial"/>
        </w:rPr>
        <w:t xml:space="preserve">the </w:t>
      </w:r>
      <w:r w:rsidRPr="00465D4B">
        <w:rPr>
          <w:rFonts w:ascii="Arial" w:hAnsi="Arial" w:cs="Arial"/>
        </w:rPr>
        <w:t xml:space="preserve">inception of the Independent Commission for Reconciliation and Information Recovery on 1 May 2024, LIB now has carriage of </w:t>
      </w:r>
      <w:r>
        <w:rPr>
          <w:rFonts w:ascii="Arial" w:hAnsi="Arial" w:cs="Arial"/>
        </w:rPr>
        <w:t>197</w:t>
      </w:r>
      <w:r w:rsidRPr="00465D4B">
        <w:rPr>
          <w:rFonts w:ascii="Arial" w:hAnsi="Arial" w:cs="Arial"/>
        </w:rPr>
        <w:t xml:space="preserve"> cases that will remain with the Police Service of Northern Ireland (PSNI) and </w:t>
      </w:r>
      <w:r>
        <w:rPr>
          <w:rFonts w:ascii="Arial" w:hAnsi="Arial" w:cs="Arial"/>
        </w:rPr>
        <w:t xml:space="preserve">which will </w:t>
      </w:r>
      <w:r w:rsidRPr="00465D4B">
        <w:rPr>
          <w:rFonts w:ascii="Arial" w:hAnsi="Arial" w:cs="Arial"/>
        </w:rPr>
        <w:t xml:space="preserve">require review and/or investigation.  </w:t>
      </w:r>
    </w:p>
    <w:p w:rsidR="00773144" w:rsidRDefault="00773144" w:rsidP="0077314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crucial that the PSNI has </w:t>
      </w:r>
      <w:r w:rsidRPr="00465D4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robust</w:t>
      </w:r>
      <w:r w:rsidRPr="00465D4B">
        <w:rPr>
          <w:rFonts w:ascii="Arial" w:hAnsi="Arial" w:cs="Arial"/>
        </w:rPr>
        <w:t xml:space="preserve"> system in place that deals with how the</w:t>
      </w:r>
      <w:r>
        <w:rPr>
          <w:rFonts w:ascii="Arial" w:hAnsi="Arial" w:cs="Arial"/>
        </w:rPr>
        <w:t>se</w:t>
      </w:r>
      <w:r w:rsidRPr="00465D4B">
        <w:rPr>
          <w:rFonts w:ascii="Arial" w:hAnsi="Arial" w:cs="Arial"/>
        </w:rPr>
        <w:t xml:space="preserve"> cases are </w:t>
      </w:r>
      <w:r>
        <w:rPr>
          <w:rFonts w:ascii="Arial" w:hAnsi="Arial" w:cs="Arial"/>
        </w:rPr>
        <w:t xml:space="preserve">prioritised and </w:t>
      </w:r>
      <w:r w:rsidRPr="00465D4B">
        <w:rPr>
          <w:rFonts w:ascii="Arial" w:hAnsi="Arial" w:cs="Arial"/>
        </w:rPr>
        <w:t>allocated</w:t>
      </w:r>
      <w:r>
        <w:rPr>
          <w:rFonts w:ascii="Arial" w:hAnsi="Arial" w:cs="Arial"/>
        </w:rPr>
        <w:t xml:space="preserve"> in an open and</w:t>
      </w:r>
      <w:r w:rsidRPr="00465D4B">
        <w:rPr>
          <w:rFonts w:ascii="Arial" w:hAnsi="Arial" w:cs="Arial"/>
        </w:rPr>
        <w:t xml:space="preserve"> transparent manner</w:t>
      </w:r>
      <w:r>
        <w:rPr>
          <w:rFonts w:ascii="Arial" w:hAnsi="Arial" w:cs="Arial"/>
        </w:rPr>
        <w:t>,</w:t>
      </w:r>
      <w:r w:rsidRPr="00465D4B">
        <w:rPr>
          <w:rFonts w:ascii="Arial" w:hAnsi="Arial" w:cs="Arial"/>
        </w:rPr>
        <w:t xml:space="preserve"> that will stand up to scrutiny.</w:t>
      </w:r>
    </w:p>
    <w:p w:rsidR="00773144" w:rsidRDefault="00773144" w:rsidP="00773144">
      <w:pPr>
        <w:spacing w:after="120" w:line="288" w:lineRule="auto"/>
        <w:rPr>
          <w:rFonts w:ascii="Arial" w:hAnsi="Arial" w:cs="Arial"/>
          <w:b/>
          <w:color w:val="002060"/>
          <w:sz w:val="28"/>
          <w:szCs w:val="28"/>
        </w:rPr>
      </w:pPr>
    </w:p>
    <w:p w:rsidR="00773144" w:rsidRPr="006D422E" w:rsidRDefault="00773144" w:rsidP="00773144">
      <w:pPr>
        <w:spacing w:after="120" w:line="288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</w:rPr>
        <w:t>Previous Case Sequencing Model (CSM)</w:t>
      </w:r>
    </w:p>
    <w:p w:rsidR="00773144" w:rsidRPr="007C74B8" w:rsidRDefault="00773144" w:rsidP="0077314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Pre-01 May 2024, LIB’s </w:t>
      </w:r>
      <w:r w:rsidRPr="007C74B8">
        <w:rPr>
          <w:rFonts w:ascii="Arial" w:hAnsi="Arial" w:cs="Arial"/>
        </w:rPr>
        <w:t xml:space="preserve">CSM </w:t>
      </w:r>
      <w:r>
        <w:rPr>
          <w:rFonts w:ascii="Arial" w:hAnsi="Arial" w:cs="Arial"/>
        </w:rPr>
        <w:t xml:space="preserve">was the process used to prioritise workload and ensure fairness and transparency; </w:t>
      </w:r>
      <w:r w:rsidRPr="007C74B8">
        <w:rPr>
          <w:rFonts w:ascii="Arial" w:hAnsi="Arial" w:cs="Arial"/>
        </w:rPr>
        <w:t xml:space="preserve">emphasis </w:t>
      </w:r>
      <w:r>
        <w:rPr>
          <w:rFonts w:ascii="Arial" w:hAnsi="Arial" w:cs="Arial"/>
        </w:rPr>
        <w:t xml:space="preserve">was placed </w:t>
      </w:r>
      <w:r w:rsidRPr="007C74B8">
        <w:rPr>
          <w:rFonts w:ascii="Arial" w:hAnsi="Arial" w:cs="Arial"/>
        </w:rPr>
        <w:t xml:space="preserve">on 4 main areas to determine </w:t>
      </w:r>
      <w:r>
        <w:rPr>
          <w:rFonts w:ascii="Arial" w:hAnsi="Arial" w:cs="Arial"/>
        </w:rPr>
        <w:t>case positioning:</w:t>
      </w:r>
    </w:p>
    <w:p w:rsidR="00773144" w:rsidRPr="007C74B8" w:rsidRDefault="00773144" w:rsidP="00773144">
      <w:pPr>
        <w:spacing w:after="120" w:line="288" w:lineRule="auto"/>
        <w:ind w:left="720" w:hanging="720"/>
        <w:jc w:val="both"/>
        <w:rPr>
          <w:rFonts w:ascii="Arial" w:hAnsi="Arial" w:cs="Arial"/>
        </w:rPr>
      </w:pPr>
      <w:r w:rsidRPr="007C74B8">
        <w:rPr>
          <w:rFonts w:ascii="Arial" w:hAnsi="Arial" w:cs="Arial"/>
        </w:rPr>
        <w:t>(1)</w:t>
      </w:r>
      <w:r w:rsidRPr="007C74B8">
        <w:rPr>
          <w:rFonts w:ascii="Arial" w:hAnsi="Arial" w:cs="Arial"/>
        </w:rPr>
        <w:tab/>
      </w:r>
      <w:r w:rsidRPr="00407B4A">
        <w:rPr>
          <w:rFonts w:ascii="Arial" w:hAnsi="Arial" w:cs="Arial"/>
          <w:b/>
        </w:rPr>
        <w:t>Contemporary Persons of Interest (CPOI)</w:t>
      </w:r>
      <w:r>
        <w:rPr>
          <w:rFonts w:ascii="Arial" w:hAnsi="Arial" w:cs="Arial"/>
        </w:rPr>
        <w:t xml:space="preserve"> – those persons still at risk of causing harm to the community today.</w:t>
      </w:r>
    </w:p>
    <w:p w:rsidR="00773144" w:rsidRPr="005A6F4D" w:rsidRDefault="00773144" w:rsidP="00773144">
      <w:pPr>
        <w:spacing w:after="120" w:line="288" w:lineRule="auto"/>
        <w:ind w:left="720" w:hanging="720"/>
        <w:jc w:val="both"/>
        <w:rPr>
          <w:rFonts w:ascii="Arial" w:hAnsi="Arial" w:cs="Arial"/>
          <w:color w:val="FF0000"/>
        </w:rPr>
      </w:pPr>
      <w:r w:rsidRPr="007C74B8">
        <w:rPr>
          <w:rFonts w:ascii="Arial" w:hAnsi="Arial" w:cs="Arial"/>
        </w:rPr>
        <w:t>(2)</w:t>
      </w:r>
      <w:r w:rsidRPr="007C74B8">
        <w:rPr>
          <w:rFonts w:ascii="Arial" w:hAnsi="Arial" w:cs="Arial"/>
        </w:rPr>
        <w:tab/>
      </w:r>
      <w:r w:rsidRPr="00407B4A">
        <w:rPr>
          <w:rFonts w:ascii="Arial" w:hAnsi="Arial" w:cs="Arial"/>
          <w:b/>
        </w:rPr>
        <w:t xml:space="preserve">Forensic Potential </w:t>
      </w:r>
      <w:r>
        <w:rPr>
          <w:rFonts w:ascii="Arial" w:hAnsi="Arial" w:cs="Arial"/>
        </w:rPr>
        <w:t xml:space="preserve">– focused on the number of exhibits only as opposed to any forensic potential. </w:t>
      </w:r>
    </w:p>
    <w:p w:rsidR="00773144" w:rsidRDefault="00773144" w:rsidP="00773144">
      <w:pPr>
        <w:spacing w:after="120" w:line="288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Pr="00407B4A">
        <w:rPr>
          <w:rFonts w:ascii="Arial" w:hAnsi="Arial" w:cs="Arial"/>
          <w:b/>
        </w:rPr>
        <w:t>Criminal Justice status</w:t>
      </w:r>
      <w:r>
        <w:rPr>
          <w:rFonts w:ascii="Arial" w:hAnsi="Arial" w:cs="Arial"/>
        </w:rPr>
        <w:t xml:space="preserve"> - p</w:t>
      </w:r>
      <w:r w:rsidRPr="00407B4A">
        <w:rPr>
          <w:rFonts w:ascii="Arial" w:hAnsi="Arial" w:cs="Arial"/>
        </w:rPr>
        <w:t>rioritis</w:t>
      </w:r>
      <w:r>
        <w:rPr>
          <w:rFonts w:ascii="Arial" w:hAnsi="Arial" w:cs="Arial"/>
        </w:rPr>
        <w:t>ed</w:t>
      </w:r>
      <w:r w:rsidRPr="00407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‘unsolved’ cases reinforcing</w:t>
      </w:r>
      <w:r w:rsidRPr="00407B4A">
        <w:rPr>
          <w:rFonts w:ascii="Arial" w:hAnsi="Arial" w:cs="Arial"/>
        </w:rPr>
        <w:t xml:space="preserve"> the criminal justice motivation of the branch and bringing to the forefront those cases where no individual has been brought to justice for any element of the incident.</w:t>
      </w:r>
    </w:p>
    <w:p w:rsidR="00773144" w:rsidRDefault="00773144" w:rsidP="00773144">
      <w:pPr>
        <w:spacing w:after="120" w:line="288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>
        <w:rPr>
          <w:rFonts w:ascii="Arial" w:hAnsi="Arial" w:cs="Arial"/>
        </w:rPr>
        <w:tab/>
      </w:r>
      <w:r w:rsidRPr="00407B4A">
        <w:rPr>
          <w:rFonts w:ascii="Arial" w:hAnsi="Arial" w:cs="Arial"/>
          <w:b/>
        </w:rPr>
        <w:t>Case progression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identified </w:t>
      </w:r>
      <w:r w:rsidRPr="00F95091">
        <w:rPr>
          <w:rFonts w:ascii="Arial" w:hAnsi="Arial" w:cs="Arial"/>
        </w:rPr>
        <w:t>‘un</w:t>
      </w:r>
      <w:r>
        <w:rPr>
          <w:rFonts w:ascii="Arial" w:hAnsi="Arial" w:cs="Arial"/>
        </w:rPr>
        <w:t>-</w:t>
      </w:r>
      <w:r w:rsidRPr="00F95091">
        <w:rPr>
          <w:rFonts w:ascii="Arial" w:hAnsi="Arial" w:cs="Arial"/>
        </w:rPr>
        <w:t xml:space="preserve">advanced cases’ </w:t>
      </w:r>
      <w:r>
        <w:rPr>
          <w:rFonts w:ascii="Arial" w:hAnsi="Arial" w:cs="Arial"/>
        </w:rPr>
        <w:t xml:space="preserve">that </w:t>
      </w:r>
      <w:r w:rsidRPr="00F95091">
        <w:rPr>
          <w:rFonts w:ascii="Arial" w:hAnsi="Arial" w:cs="Arial"/>
        </w:rPr>
        <w:t>present the opportunity to recognise c</w:t>
      </w:r>
      <w:r>
        <w:rPr>
          <w:rFonts w:ascii="Arial" w:hAnsi="Arial" w:cs="Arial"/>
        </w:rPr>
        <w:t xml:space="preserve">urrently undiscovered potential and </w:t>
      </w:r>
      <w:r w:rsidRPr="00F95091">
        <w:rPr>
          <w:rFonts w:ascii="Arial" w:hAnsi="Arial" w:cs="Arial"/>
        </w:rPr>
        <w:t>manag</w:t>
      </w:r>
      <w:r>
        <w:rPr>
          <w:rFonts w:ascii="Arial" w:hAnsi="Arial" w:cs="Arial"/>
        </w:rPr>
        <w:t>e</w:t>
      </w:r>
      <w:r w:rsidRPr="00F95091">
        <w:rPr>
          <w:rFonts w:ascii="Arial" w:hAnsi="Arial" w:cs="Arial"/>
        </w:rPr>
        <w:t xml:space="preserve"> contemporary threats to public safety</w:t>
      </w:r>
      <w:r>
        <w:rPr>
          <w:rFonts w:ascii="Arial" w:hAnsi="Arial" w:cs="Arial"/>
        </w:rPr>
        <w:t>;</w:t>
      </w:r>
      <w:r w:rsidRPr="00F95091">
        <w:rPr>
          <w:rFonts w:ascii="Arial" w:hAnsi="Arial" w:cs="Arial"/>
        </w:rPr>
        <w:t xml:space="preserve"> a reasonable assumption that those individuals believed responsible for cases most recently committed may be more likely to pose a threat today</w:t>
      </w:r>
    </w:p>
    <w:p w:rsidR="00773144" w:rsidRPr="00F95091" w:rsidRDefault="00773144" w:rsidP="00773144">
      <w:pPr>
        <w:spacing w:after="120" w:line="288" w:lineRule="auto"/>
        <w:ind w:left="720" w:hanging="720"/>
        <w:jc w:val="both"/>
        <w:rPr>
          <w:rFonts w:ascii="Arial" w:hAnsi="Arial" w:cs="Arial"/>
        </w:rPr>
      </w:pPr>
    </w:p>
    <w:p w:rsidR="00773144" w:rsidRDefault="00773144" w:rsidP="00773144">
      <w:pPr>
        <w:spacing w:after="120"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HET, SCRT and ReMIT cases</w:t>
      </w:r>
      <w:r w:rsidRPr="00407B4A">
        <w:rPr>
          <w:rFonts w:ascii="Arial" w:hAnsi="Arial" w:cs="Arial"/>
        </w:rPr>
        <w:t xml:space="preserve"> were </w:t>
      </w:r>
      <w:r>
        <w:rPr>
          <w:rFonts w:ascii="Arial" w:hAnsi="Arial" w:cs="Arial"/>
        </w:rPr>
        <w:t>at various stages of completion:</w:t>
      </w:r>
    </w:p>
    <w:p w:rsidR="00773144" w:rsidRDefault="00773144" w:rsidP="00773144">
      <w:pPr>
        <w:pStyle w:val="ListParagraph"/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</w:rPr>
      </w:pPr>
      <w:r w:rsidRPr="00F95091">
        <w:rPr>
          <w:rFonts w:ascii="Arial" w:hAnsi="Arial" w:cs="Arial"/>
          <w:b/>
        </w:rPr>
        <w:t>Advanced</w:t>
      </w:r>
      <w:r w:rsidRPr="00F95091">
        <w:rPr>
          <w:rFonts w:ascii="Arial" w:hAnsi="Arial" w:cs="Arial"/>
        </w:rPr>
        <w:t xml:space="preserve"> - reviews nearing completion or investigations where the c</w:t>
      </w:r>
      <w:r>
        <w:rPr>
          <w:rFonts w:ascii="Arial" w:hAnsi="Arial" w:cs="Arial"/>
        </w:rPr>
        <w:t>ase had been formally allocated, and terms of reference/</w:t>
      </w:r>
      <w:r w:rsidRPr="00F95091">
        <w:rPr>
          <w:rFonts w:ascii="Arial" w:hAnsi="Arial" w:cs="Arial"/>
        </w:rPr>
        <w:t>investigation strategy agreed.</w:t>
      </w:r>
    </w:p>
    <w:p w:rsidR="00773144" w:rsidRDefault="00773144" w:rsidP="00773144">
      <w:pPr>
        <w:pStyle w:val="ListParagraph"/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</w:rPr>
      </w:pPr>
      <w:r w:rsidRPr="00C30461">
        <w:rPr>
          <w:rFonts w:ascii="Arial" w:hAnsi="Arial" w:cs="Arial"/>
          <w:b/>
        </w:rPr>
        <w:t>Un-advanced</w:t>
      </w:r>
      <w:r w:rsidRPr="00C3046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C30461">
        <w:rPr>
          <w:rFonts w:ascii="Arial" w:hAnsi="Arial" w:cs="Arial"/>
        </w:rPr>
        <w:t>have either never been opened for review/investigation or have been</w:t>
      </w:r>
      <w:r>
        <w:rPr>
          <w:rFonts w:ascii="Arial" w:hAnsi="Arial" w:cs="Arial"/>
        </w:rPr>
        <w:t>,</w:t>
      </w:r>
      <w:r w:rsidRPr="00C30461">
        <w:rPr>
          <w:rFonts w:ascii="Arial" w:hAnsi="Arial" w:cs="Arial"/>
        </w:rPr>
        <w:t xml:space="preserve"> but not reached the stage where review/investigative work had been progressed.</w:t>
      </w:r>
    </w:p>
    <w:p w:rsidR="00773144" w:rsidRDefault="00773144" w:rsidP="00773144">
      <w:pPr>
        <w:spacing w:after="120" w:line="288" w:lineRule="auto"/>
        <w:ind w:left="720"/>
        <w:rPr>
          <w:rFonts w:ascii="Arial" w:hAnsi="Arial" w:cs="Arial"/>
          <w:b/>
          <w:color w:val="002060"/>
        </w:rPr>
      </w:pPr>
    </w:p>
    <w:p w:rsidR="00773144" w:rsidRPr="006D422E" w:rsidRDefault="00773144" w:rsidP="00773144">
      <w:pPr>
        <w:spacing w:after="120" w:line="288" w:lineRule="auto"/>
        <w:ind w:left="720"/>
        <w:jc w:val="both"/>
        <w:rPr>
          <w:rFonts w:ascii="Arial" w:hAnsi="Arial" w:cs="Arial"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t>Legal Judgments</w:t>
      </w:r>
    </w:p>
    <w:p w:rsidR="00773144" w:rsidRDefault="00773144" w:rsidP="00773144">
      <w:pPr>
        <w:spacing w:after="120" w:line="288" w:lineRule="auto"/>
        <w:ind w:left="720"/>
        <w:jc w:val="both"/>
        <w:rPr>
          <w:rFonts w:ascii="Arial" w:hAnsi="Arial" w:cs="Arial"/>
        </w:rPr>
      </w:pPr>
      <w:r w:rsidRPr="007C74B8">
        <w:rPr>
          <w:rFonts w:ascii="Arial" w:hAnsi="Arial" w:cs="Arial"/>
        </w:rPr>
        <w:t xml:space="preserve">The CSM </w:t>
      </w:r>
      <w:r>
        <w:rPr>
          <w:rFonts w:ascii="Arial" w:hAnsi="Arial" w:cs="Arial"/>
        </w:rPr>
        <w:t>was</w:t>
      </w:r>
      <w:r w:rsidRPr="007C74B8">
        <w:rPr>
          <w:rFonts w:ascii="Arial" w:hAnsi="Arial" w:cs="Arial"/>
        </w:rPr>
        <w:t xml:space="preserve"> subject to </w:t>
      </w:r>
      <w:r>
        <w:rPr>
          <w:rFonts w:ascii="Arial" w:hAnsi="Arial" w:cs="Arial"/>
        </w:rPr>
        <w:t xml:space="preserve">various </w:t>
      </w:r>
      <w:r w:rsidRPr="007C74B8">
        <w:rPr>
          <w:rFonts w:ascii="Arial" w:hAnsi="Arial" w:cs="Arial"/>
        </w:rPr>
        <w:t>legal challenge</w:t>
      </w:r>
      <w:r>
        <w:rPr>
          <w:rFonts w:ascii="Arial" w:hAnsi="Arial" w:cs="Arial"/>
        </w:rPr>
        <w:t>s from persons wishing for their case to be taken out of sequence and other matters:</w:t>
      </w:r>
    </w:p>
    <w:p w:rsidR="00773144" w:rsidRDefault="00773144" w:rsidP="00773144">
      <w:pPr>
        <w:pStyle w:val="ListParagraph"/>
        <w:numPr>
          <w:ilvl w:val="0"/>
          <w:numId w:val="3"/>
        </w:numPr>
        <w:spacing w:after="120" w:line="288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 </w:t>
      </w:r>
      <w:r w:rsidRPr="0045776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45776E">
        <w:rPr>
          <w:rFonts w:ascii="Arial" w:hAnsi="Arial" w:cs="Arial"/>
          <w:b/>
        </w:rPr>
        <w:t>Friz</w:t>
      </w:r>
      <w:r>
        <w:rPr>
          <w:rFonts w:ascii="Arial" w:hAnsi="Arial" w:cs="Arial"/>
          <w:b/>
        </w:rPr>
        <w:t>z</w:t>
      </w:r>
      <w:r w:rsidRPr="0045776E">
        <w:rPr>
          <w:rFonts w:ascii="Arial" w:hAnsi="Arial" w:cs="Arial"/>
          <w:b/>
        </w:rPr>
        <w:t xml:space="preserve">ell - </w:t>
      </w:r>
      <w:r w:rsidRPr="0045776E">
        <w:rPr>
          <w:rFonts w:ascii="Arial" w:hAnsi="Arial" w:cs="Arial"/>
        </w:rPr>
        <w:t xml:space="preserve">Judicial Review </w:t>
      </w:r>
      <w:r>
        <w:rPr>
          <w:rFonts w:ascii="Arial" w:hAnsi="Arial" w:cs="Arial"/>
        </w:rPr>
        <w:t>challenging</w:t>
      </w:r>
      <w:r w:rsidRPr="0045776E">
        <w:rPr>
          <w:rFonts w:ascii="Arial" w:hAnsi="Arial" w:cs="Arial"/>
        </w:rPr>
        <w:t xml:space="preserve"> how investigations were sequenced </w:t>
      </w:r>
      <w:r>
        <w:rPr>
          <w:rFonts w:ascii="Arial" w:hAnsi="Arial" w:cs="Arial"/>
        </w:rPr>
        <w:t xml:space="preserve">and </w:t>
      </w:r>
      <w:r w:rsidRPr="0045776E">
        <w:rPr>
          <w:rFonts w:ascii="Arial" w:hAnsi="Arial" w:cs="Arial"/>
        </w:rPr>
        <w:t xml:space="preserve">requiring </w:t>
      </w:r>
      <w:r>
        <w:rPr>
          <w:rFonts w:ascii="Arial" w:hAnsi="Arial" w:cs="Arial"/>
        </w:rPr>
        <w:t>disclosure of the CSM position.</w:t>
      </w:r>
    </w:p>
    <w:p w:rsidR="00773144" w:rsidRDefault="00773144" w:rsidP="00773144">
      <w:pPr>
        <w:pStyle w:val="ListParagraph"/>
        <w:spacing w:after="120" w:line="288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45776E">
        <w:rPr>
          <w:rFonts w:ascii="Arial" w:hAnsi="Arial" w:cs="Arial"/>
        </w:rPr>
        <w:t>PSNI</w:t>
      </w:r>
      <w:r>
        <w:rPr>
          <w:rFonts w:ascii="Arial" w:hAnsi="Arial" w:cs="Arial"/>
        </w:rPr>
        <w:t xml:space="preserve"> was not required to provide this</w:t>
      </w:r>
      <w:r w:rsidRPr="0045776E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>,</w:t>
      </w:r>
      <w:r w:rsidRPr="004577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it deemed </w:t>
      </w:r>
      <w:r w:rsidRPr="0045776E">
        <w:rPr>
          <w:rFonts w:ascii="Arial" w:hAnsi="Arial" w:cs="Arial"/>
        </w:rPr>
        <w:t xml:space="preserve">to be an operational matter for LIB.  </w:t>
      </w:r>
    </w:p>
    <w:p w:rsidR="00773144" w:rsidRPr="0045776E" w:rsidRDefault="00773144" w:rsidP="00773144">
      <w:pPr>
        <w:pStyle w:val="ListParagraph"/>
        <w:spacing w:after="120" w:line="288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CSM </w:t>
      </w:r>
      <w:r w:rsidRPr="0045776E">
        <w:rPr>
          <w:rFonts w:ascii="Arial" w:hAnsi="Arial" w:cs="Arial"/>
        </w:rPr>
        <w:t xml:space="preserve">was found to be an appropriate method to prioritise significant caseload with finite resourcing. </w:t>
      </w:r>
    </w:p>
    <w:p w:rsidR="00773144" w:rsidRPr="0045776E" w:rsidRDefault="00773144" w:rsidP="00773144">
      <w:pPr>
        <w:pStyle w:val="ListParagraph"/>
        <w:numPr>
          <w:ilvl w:val="0"/>
          <w:numId w:val="3"/>
        </w:numPr>
        <w:spacing w:after="120" w:line="288" w:lineRule="auto"/>
        <w:ind w:left="1440"/>
        <w:jc w:val="both"/>
        <w:rPr>
          <w:rFonts w:ascii="Arial" w:hAnsi="Arial" w:cs="Arial"/>
        </w:rPr>
      </w:pPr>
      <w:r w:rsidRPr="0045776E">
        <w:rPr>
          <w:rFonts w:ascii="Arial" w:hAnsi="Arial" w:cs="Arial"/>
          <w:b/>
        </w:rPr>
        <w:t>Beatty &amp; PPS &amp; CC -</w:t>
      </w:r>
      <w:r>
        <w:rPr>
          <w:rFonts w:ascii="Arial" w:hAnsi="Arial" w:cs="Arial"/>
          <w:b/>
        </w:rPr>
        <w:t xml:space="preserve"> </w:t>
      </w:r>
      <w:r w:rsidRPr="00C366BD">
        <w:rPr>
          <w:rFonts w:ascii="Arial" w:hAnsi="Arial" w:cs="Arial"/>
        </w:rPr>
        <w:t>t</w:t>
      </w:r>
      <w:r w:rsidRPr="0045776E">
        <w:rPr>
          <w:rFonts w:ascii="Arial" w:hAnsi="Arial" w:cs="Arial"/>
        </w:rPr>
        <w:t>his judgment has provided case law considered in other judicial processes</w:t>
      </w:r>
      <w:r>
        <w:rPr>
          <w:rFonts w:ascii="Arial" w:hAnsi="Arial" w:cs="Arial"/>
        </w:rPr>
        <w:t>, for example, the</w:t>
      </w:r>
      <w:r w:rsidRPr="0045776E">
        <w:rPr>
          <w:rFonts w:ascii="Arial" w:hAnsi="Arial" w:cs="Arial"/>
        </w:rPr>
        <w:t xml:space="preserve"> PPS deciding </w:t>
      </w:r>
      <w:r>
        <w:rPr>
          <w:rFonts w:ascii="Arial" w:hAnsi="Arial" w:cs="Arial"/>
        </w:rPr>
        <w:t xml:space="preserve">not </w:t>
      </w:r>
      <w:r w:rsidRPr="0045776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make s.35/5 referrals if a case sits on the CSM for future review.</w:t>
      </w:r>
    </w:p>
    <w:p w:rsidR="00773144" w:rsidRPr="00C366BD" w:rsidRDefault="00773144" w:rsidP="00773144">
      <w:pPr>
        <w:pStyle w:val="ListParagraph"/>
        <w:numPr>
          <w:ilvl w:val="0"/>
          <w:numId w:val="3"/>
        </w:numPr>
        <w:spacing w:after="120" w:line="288" w:lineRule="auto"/>
        <w:ind w:left="1440"/>
        <w:jc w:val="both"/>
        <w:rPr>
          <w:rFonts w:ascii="Arial" w:hAnsi="Arial" w:cs="Arial"/>
          <w:lang w:val="en-US"/>
        </w:rPr>
      </w:pPr>
      <w:r w:rsidRPr="00C366BD">
        <w:rPr>
          <w:rFonts w:ascii="Arial" w:hAnsi="Arial" w:cs="Arial"/>
          <w:b/>
        </w:rPr>
        <w:t>McQuillan, McGuigan &amp; McKenna –</w:t>
      </w:r>
      <w:r w:rsidRPr="00C366BD">
        <w:rPr>
          <w:rFonts w:ascii="Arial" w:hAnsi="Arial" w:cs="Arial"/>
        </w:rPr>
        <w:t xml:space="preserve"> this judgment </w:t>
      </w:r>
      <w:r>
        <w:rPr>
          <w:rFonts w:ascii="Arial" w:hAnsi="Arial" w:cs="Arial"/>
        </w:rPr>
        <w:t>stated</w:t>
      </w:r>
      <w:r w:rsidRPr="00C366BD">
        <w:rPr>
          <w:rFonts w:ascii="Arial" w:hAnsi="Arial" w:cs="Arial"/>
          <w:lang w:val="en-US"/>
        </w:rPr>
        <w:t xml:space="preserve"> that there were no Article 2 or Article 3 </w:t>
      </w:r>
      <w:r>
        <w:rPr>
          <w:rFonts w:ascii="Arial" w:hAnsi="Arial" w:cs="Arial"/>
          <w:lang w:val="en-US"/>
        </w:rPr>
        <w:t xml:space="preserve">ECHR </w:t>
      </w:r>
      <w:r w:rsidRPr="00C366BD">
        <w:rPr>
          <w:rFonts w:ascii="Arial" w:hAnsi="Arial" w:cs="Arial"/>
          <w:lang w:val="en-US"/>
        </w:rPr>
        <w:t>obligations to investigate deaths occurring prior to the entry of such Act on the 2</w:t>
      </w:r>
      <w:r w:rsidRPr="00C366BD">
        <w:rPr>
          <w:rFonts w:ascii="Arial" w:hAnsi="Arial" w:cs="Arial"/>
          <w:vertAlign w:val="superscript"/>
          <w:lang w:val="en-US"/>
        </w:rPr>
        <w:t>nd</w:t>
      </w:r>
      <w:r w:rsidRPr="00C366BD">
        <w:rPr>
          <w:rFonts w:ascii="Arial" w:hAnsi="Arial" w:cs="Arial"/>
          <w:lang w:val="en-US"/>
        </w:rPr>
        <w:t xml:space="preserve"> of October 2000 with exception of the </w:t>
      </w:r>
      <w:r w:rsidRPr="00C366BD">
        <w:rPr>
          <w:rFonts w:ascii="Arial" w:hAnsi="Arial" w:cs="Arial"/>
          <w:i/>
          <w:lang w:val="en-US"/>
        </w:rPr>
        <w:t>‘Brecknell Test</w:t>
      </w:r>
      <w:r w:rsidRPr="00C366BD">
        <w:rPr>
          <w:rStyle w:val="FootnoteReference"/>
          <w:rFonts w:ascii="Arial" w:hAnsi="Arial" w:cs="Arial"/>
          <w:b/>
          <w:i/>
          <w:lang w:val="en-US"/>
        </w:rPr>
        <w:footnoteReference w:id="1"/>
      </w:r>
      <w:r>
        <w:rPr>
          <w:rFonts w:ascii="Arial" w:hAnsi="Arial" w:cs="Arial"/>
          <w:i/>
          <w:lang w:val="en-US"/>
        </w:rPr>
        <w:t>’</w:t>
      </w:r>
      <w:r w:rsidRPr="00C366BD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C366B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‘</w:t>
      </w:r>
      <w:r w:rsidRPr="00C366BD">
        <w:rPr>
          <w:rFonts w:ascii="Arial" w:hAnsi="Arial" w:cs="Arial"/>
          <w:i/>
          <w:lang w:val="en-US"/>
        </w:rPr>
        <w:t>The Genuine Connection Test</w:t>
      </w:r>
      <w:r w:rsidRPr="00C366BD">
        <w:rPr>
          <w:rStyle w:val="FootnoteReference"/>
          <w:rFonts w:ascii="Arial" w:hAnsi="Arial" w:cs="Arial"/>
          <w:b/>
          <w:i/>
          <w:lang w:val="en-US"/>
        </w:rPr>
        <w:footnoteReference w:id="2"/>
      </w:r>
      <w:r w:rsidRPr="00C366BD">
        <w:rPr>
          <w:rFonts w:ascii="Arial" w:hAnsi="Arial" w:cs="Arial"/>
          <w:i/>
          <w:lang w:val="en-US"/>
        </w:rPr>
        <w:t>’</w:t>
      </w:r>
      <w:r>
        <w:rPr>
          <w:rFonts w:ascii="Arial" w:hAnsi="Arial" w:cs="Arial"/>
          <w:lang w:val="en-US"/>
        </w:rPr>
        <w:t xml:space="preserve">. </w:t>
      </w:r>
    </w:p>
    <w:p w:rsidR="00773144" w:rsidRDefault="00773144" w:rsidP="00773144">
      <w:pPr>
        <w:spacing w:after="160" w:line="259" w:lineRule="auto"/>
        <w:rPr>
          <w:rFonts w:ascii="Arial" w:hAnsi="Arial" w:cs="Arial"/>
          <w:b/>
          <w:color w:val="002060"/>
          <w:sz w:val="28"/>
          <w:lang w:val="en-US"/>
        </w:rPr>
      </w:pPr>
      <w:r>
        <w:rPr>
          <w:rFonts w:ascii="Arial" w:hAnsi="Arial" w:cs="Arial"/>
          <w:b/>
          <w:color w:val="002060"/>
          <w:sz w:val="28"/>
          <w:lang w:val="en-US"/>
        </w:rPr>
        <w:br w:type="page"/>
      </w:r>
    </w:p>
    <w:p w:rsidR="00773144" w:rsidRPr="006D422E" w:rsidRDefault="00773144" w:rsidP="00773144">
      <w:pPr>
        <w:spacing w:line="336" w:lineRule="auto"/>
        <w:jc w:val="both"/>
        <w:rPr>
          <w:rFonts w:ascii="Arial" w:hAnsi="Arial" w:cs="Arial"/>
          <w:b/>
          <w:color w:val="385623" w:themeColor="accent6" w:themeShade="80"/>
          <w:sz w:val="28"/>
          <w:lang w:val="en-US"/>
        </w:rPr>
      </w:pPr>
      <w:r>
        <w:rPr>
          <w:rFonts w:ascii="Arial" w:hAnsi="Arial" w:cs="Arial"/>
          <w:b/>
          <w:color w:val="385623" w:themeColor="accent6" w:themeShade="80"/>
          <w:sz w:val="28"/>
          <w:lang w:val="en-US"/>
        </w:rPr>
        <w:lastRenderedPageBreak/>
        <w:t xml:space="preserve">New </w:t>
      </w:r>
      <w:r w:rsidRPr="006D422E">
        <w:rPr>
          <w:rFonts w:ascii="Arial" w:hAnsi="Arial" w:cs="Arial"/>
          <w:b/>
          <w:color w:val="385623" w:themeColor="accent6" w:themeShade="80"/>
          <w:sz w:val="28"/>
          <w:lang w:val="en-US"/>
        </w:rPr>
        <w:t>Hybrid-Case Allocation Model (CAM)</w:t>
      </w:r>
    </w:p>
    <w:p w:rsidR="00773144" w:rsidRDefault="00773144" w:rsidP="00773144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197 cases remain with LIB to progress; 71 pre-10/04/98</w:t>
      </w:r>
      <w:r w:rsidRPr="007C6350">
        <w:rPr>
          <w:rStyle w:val="FootnoteReference"/>
          <w:rFonts w:ascii="Arial" w:hAnsi="Arial" w:cs="Arial"/>
          <w:b/>
        </w:rPr>
        <w:footnoteReference w:id="3"/>
      </w:r>
      <w:r w:rsidRPr="007C63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and 126 post-10/04/98.</w:t>
      </w:r>
    </w:p>
    <w:p w:rsidR="00773144" w:rsidRPr="005D2B50" w:rsidRDefault="00773144" w:rsidP="00773144">
      <w:pPr>
        <w:pStyle w:val="ListParagraph"/>
        <w:numPr>
          <w:ilvl w:val="0"/>
          <w:numId w:val="5"/>
        </w:numPr>
        <w:spacing w:line="336" w:lineRule="auto"/>
        <w:jc w:val="both"/>
        <w:rPr>
          <w:rFonts w:ascii="Arial" w:hAnsi="Arial" w:cs="Arial"/>
          <w:lang w:val="en-US"/>
        </w:rPr>
      </w:pPr>
      <w:r w:rsidRPr="005D2B50">
        <w:rPr>
          <w:rFonts w:ascii="Arial" w:hAnsi="Arial" w:cs="Arial"/>
          <w:b/>
          <w:lang w:val="en-US"/>
        </w:rPr>
        <w:t>Pre-1998 Case Allocation</w:t>
      </w:r>
      <w:r>
        <w:rPr>
          <w:rFonts w:ascii="Arial" w:hAnsi="Arial" w:cs="Arial"/>
          <w:b/>
          <w:lang w:val="en-US"/>
        </w:rPr>
        <w:t xml:space="preserve"> (one-third</w:t>
      </w:r>
      <w:r w:rsidRPr="005D2B50">
        <w:rPr>
          <w:rFonts w:ascii="Arial" w:hAnsi="Arial" w:cs="Arial"/>
          <w:b/>
          <w:lang w:val="en-US"/>
        </w:rPr>
        <w:t xml:space="preserve"> remaining non-troubles related cases)</w:t>
      </w:r>
      <w:r w:rsidRPr="005D2B50">
        <w:rPr>
          <w:rFonts w:ascii="Arial" w:hAnsi="Arial" w:cs="Arial"/>
          <w:lang w:val="en-US"/>
        </w:rPr>
        <w:t xml:space="preserve"> </w:t>
      </w:r>
    </w:p>
    <w:p w:rsidR="00D34DB6" w:rsidRDefault="00D34DB6" w:rsidP="00D34DB6">
      <w:pPr>
        <w:pStyle w:val="ListParagraph"/>
        <w:numPr>
          <w:ilvl w:val="0"/>
          <w:numId w:val="6"/>
        </w:numPr>
        <w:spacing w:line="336" w:lineRule="auto"/>
        <w:jc w:val="both"/>
        <w:rPr>
          <w:rFonts w:ascii="Arial" w:hAnsi="Arial" w:cs="Arial"/>
        </w:rPr>
      </w:pPr>
      <w:r w:rsidRPr="00430348">
        <w:rPr>
          <w:rFonts w:ascii="Arial" w:hAnsi="Arial" w:cs="Arial"/>
        </w:rPr>
        <w:t xml:space="preserve">Cases ranging from </w:t>
      </w:r>
      <w:r>
        <w:rPr>
          <w:rFonts w:ascii="Arial" w:hAnsi="Arial" w:cs="Arial"/>
          <w:b/>
        </w:rPr>
        <w:t xml:space="preserve">1969 – </w:t>
      </w:r>
      <w:r w:rsidRPr="00430348">
        <w:rPr>
          <w:rFonts w:ascii="Arial" w:hAnsi="Arial" w:cs="Arial"/>
          <w:b/>
        </w:rPr>
        <w:t>1 October 1988 inclusive</w:t>
      </w:r>
      <w:r w:rsidRPr="00430348">
        <w:rPr>
          <w:rFonts w:ascii="Arial" w:hAnsi="Arial" w:cs="Arial"/>
        </w:rPr>
        <w:t>, that fall outside of Article 2 H</w:t>
      </w:r>
      <w:r>
        <w:rPr>
          <w:rFonts w:ascii="Arial" w:hAnsi="Arial" w:cs="Arial"/>
        </w:rPr>
        <w:t xml:space="preserve">uman </w:t>
      </w:r>
      <w:r w:rsidRPr="0043034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ights </w:t>
      </w:r>
      <w:r w:rsidRPr="00430348">
        <w:rPr>
          <w:rFonts w:ascii="Arial" w:hAnsi="Arial" w:cs="Arial"/>
        </w:rPr>
        <w:t>A</w:t>
      </w:r>
      <w:r>
        <w:rPr>
          <w:rFonts w:ascii="Arial" w:hAnsi="Arial" w:cs="Arial"/>
        </w:rPr>
        <w:t>ct 1988</w:t>
      </w:r>
      <w:r w:rsidRPr="00430348">
        <w:rPr>
          <w:rFonts w:ascii="Arial" w:hAnsi="Arial" w:cs="Arial"/>
        </w:rPr>
        <w:t xml:space="preserve"> obligations</w:t>
      </w:r>
      <w:r w:rsidRPr="007B66D1">
        <w:rPr>
          <w:rStyle w:val="FootnoteReference"/>
          <w:rFonts w:ascii="Arial" w:hAnsi="Arial" w:cs="Arial"/>
          <w:b/>
        </w:rPr>
        <w:footnoteReference w:id="4"/>
      </w:r>
      <w:r>
        <w:rPr>
          <w:rFonts w:ascii="Arial" w:hAnsi="Arial" w:cs="Arial"/>
        </w:rPr>
        <w:t xml:space="preserve"> </w:t>
      </w:r>
      <w:r w:rsidRPr="00430348">
        <w:rPr>
          <w:rFonts w:ascii="Arial" w:hAnsi="Arial" w:cs="Arial"/>
        </w:rPr>
        <w:t>will be subject to a desktop review, in order from oldest first, to establish if there is any weighty or new compelling evidence which requires a fresh Article 2-compliant investigation.</w:t>
      </w:r>
    </w:p>
    <w:p w:rsidR="00773144" w:rsidRDefault="00773144" w:rsidP="00773144">
      <w:pPr>
        <w:pStyle w:val="ListParagraph"/>
        <w:numPr>
          <w:ilvl w:val="0"/>
          <w:numId w:val="6"/>
        </w:numPr>
        <w:spacing w:line="336" w:lineRule="auto"/>
        <w:jc w:val="both"/>
        <w:rPr>
          <w:rFonts w:ascii="Arial" w:hAnsi="Arial" w:cs="Arial"/>
          <w:lang w:val="en-US"/>
        </w:rPr>
      </w:pPr>
      <w:r w:rsidRPr="003437C3">
        <w:rPr>
          <w:rFonts w:ascii="Arial" w:hAnsi="Arial" w:cs="Arial"/>
          <w:b/>
          <w:lang w:val="en-US"/>
        </w:rPr>
        <w:t>198</w:t>
      </w:r>
      <w:r>
        <w:rPr>
          <w:rFonts w:ascii="Arial" w:hAnsi="Arial" w:cs="Arial"/>
          <w:b/>
          <w:lang w:val="en-US"/>
        </w:rPr>
        <w:t xml:space="preserve">8 </w:t>
      </w:r>
      <w:r w:rsidRPr="003437C3">
        <w:rPr>
          <w:rFonts w:ascii="Arial" w:hAnsi="Arial" w:cs="Arial"/>
          <w:b/>
          <w:lang w:val="en-US"/>
        </w:rPr>
        <w:t>–</w:t>
      </w:r>
      <w:r>
        <w:rPr>
          <w:rFonts w:ascii="Arial" w:hAnsi="Arial" w:cs="Arial"/>
          <w:b/>
          <w:lang w:val="en-US"/>
        </w:rPr>
        <w:t xml:space="preserve"> </w:t>
      </w:r>
      <w:r w:rsidRPr="003437C3">
        <w:rPr>
          <w:rFonts w:ascii="Arial" w:hAnsi="Arial" w:cs="Arial"/>
          <w:b/>
          <w:lang w:val="en-US"/>
        </w:rPr>
        <w:t>1998</w:t>
      </w:r>
      <w:r w:rsidRPr="005D2B50">
        <w:rPr>
          <w:rFonts w:ascii="Arial" w:hAnsi="Arial" w:cs="Arial"/>
          <w:lang w:val="en-US"/>
        </w:rPr>
        <w:t xml:space="preserve"> cases</w:t>
      </w:r>
      <w:r w:rsidRPr="00C30461">
        <w:rPr>
          <w:rFonts w:ascii="Arial" w:hAnsi="Arial" w:cs="Arial"/>
          <w:lang w:val="en-US"/>
        </w:rPr>
        <w:t xml:space="preserve"> will be allocated in </w:t>
      </w:r>
      <w:r w:rsidRPr="00C30461">
        <w:rPr>
          <w:rFonts w:ascii="Arial" w:hAnsi="Arial" w:cs="Arial"/>
          <w:i/>
          <w:lang w:val="en-US"/>
        </w:rPr>
        <w:t>chronological order</w:t>
      </w:r>
      <w:r>
        <w:rPr>
          <w:rFonts w:ascii="Arial" w:hAnsi="Arial" w:cs="Arial"/>
          <w:i/>
          <w:lang w:val="en-US"/>
        </w:rPr>
        <w:t xml:space="preserve"> (oldest – recent)</w:t>
      </w:r>
      <w:r w:rsidRPr="00C30461">
        <w:rPr>
          <w:rFonts w:ascii="Arial" w:hAnsi="Arial" w:cs="Arial"/>
          <w:lang w:val="en-US"/>
        </w:rPr>
        <w:t xml:space="preserve"> and subject to the same Article 2 dut</w:t>
      </w:r>
      <w:r>
        <w:rPr>
          <w:rFonts w:ascii="Arial" w:hAnsi="Arial" w:cs="Arial"/>
          <w:lang w:val="en-US"/>
        </w:rPr>
        <w:t>y</w:t>
      </w:r>
      <w:r w:rsidRPr="00C30461">
        <w:rPr>
          <w:rFonts w:ascii="Arial" w:hAnsi="Arial" w:cs="Arial"/>
          <w:lang w:val="en-US"/>
        </w:rPr>
        <w:t xml:space="preserve"> that </w:t>
      </w:r>
      <w:r>
        <w:rPr>
          <w:rFonts w:ascii="Arial" w:hAnsi="Arial" w:cs="Arial"/>
          <w:lang w:val="en-US"/>
        </w:rPr>
        <w:t>applies t</w:t>
      </w:r>
      <w:r w:rsidRPr="00C30461">
        <w:rPr>
          <w:rFonts w:ascii="Arial" w:hAnsi="Arial" w:cs="Arial"/>
          <w:lang w:val="en-US"/>
        </w:rPr>
        <w:t>o post</w:t>
      </w:r>
      <w:r>
        <w:rPr>
          <w:rFonts w:ascii="Arial" w:hAnsi="Arial" w:cs="Arial"/>
          <w:lang w:val="en-US"/>
        </w:rPr>
        <w:t>-</w:t>
      </w:r>
      <w:r w:rsidRPr="00C30461">
        <w:rPr>
          <w:rFonts w:ascii="Arial" w:hAnsi="Arial" w:cs="Arial"/>
          <w:lang w:val="en-US"/>
        </w:rPr>
        <w:t>1998 cas</w:t>
      </w:r>
      <w:r>
        <w:rPr>
          <w:rFonts w:ascii="Arial" w:hAnsi="Arial" w:cs="Arial"/>
          <w:lang w:val="en-US"/>
        </w:rPr>
        <w:t>es above; prompt and</w:t>
      </w:r>
      <w:r w:rsidRPr="00C30461">
        <w:rPr>
          <w:rFonts w:ascii="Arial" w:hAnsi="Arial" w:cs="Arial"/>
          <w:lang w:val="en-US"/>
        </w:rPr>
        <w:t xml:space="preserve"> effective</w:t>
      </w:r>
      <w:r>
        <w:rPr>
          <w:rFonts w:ascii="Arial" w:hAnsi="Arial" w:cs="Arial"/>
          <w:lang w:val="en-US"/>
        </w:rPr>
        <w:t>,</w:t>
      </w:r>
      <w:r w:rsidRPr="00C30461">
        <w:rPr>
          <w:rFonts w:ascii="Arial" w:hAnsi="Arial" w:cs="Arial"/>
          <w:lang w:val="en-US"/>
        </w:rPr>
        <w:t xml:space="preserve"> and stand </w:t>
      </w:r>
      <w:r w:rsidR="00063EAA">
        <w:rPr>
          <w:rFonts w:ascii="Arial" w:hAnsi="Arial" w:cs="Arial"/>
          <w:lang w:val="en-US"/>
        </w:rPr>
        <w:t xml:space="preserve">up </w:t>
      </w:r>
      <w:r w:rsidRPr="00C30461">
        <w:rPr>
          <w:rFonts w:ascii="Arial" w:hAnsi="Arial" w:cs="Arial"/>
          <w:lang w:val="en-US"/>
        </w:rPr>
        <w:t>to public scrut</w:t>
      </w:r>
      <w:r>
        <w:rPr>
          <w:rFonts w:ascii="Arial" w:hAnsi="Arial" w:cs="Arial"/>
          <w:lang w:val="en-US"/>
        </w:rPr>
        <w:t xml:space="preserve">iny </w:t>
      </w:r>
      <w:r w:rsidR="00063EAA">
        <w:rPr>
          <w:rFonts w:ascii="Arial" w:hAnsi="Arial" w:cs="Arial"/>
          <w:lang w:val="en-US"/>
        </w:rPr>
        <w:t xml:space="preserve">in order to </w:t>
      </w:r>
      <w:r>
        <w:rPr>
          <w:rFonts w:ascii="Arial" w:hAnsi="Arial" w:cs="Arial"/>
          <w:lang w:val="en-US"/>
        </w:rPr>
        <w:t>secure accountability and</w:t>
      </w:r>
      <w:r w:rsidRPr="00C30461">
        <w:rPr>
          <w:rFonts w:ascii="Arial" w:hAnsi="Arial" w:cs="Arial"/>
          <w:lang w:val="en-US"/>
        </w:rPr>
        <w:t xml:space="preserve"> confidence in policing</w:t>
      </w:r>
      <w:r>
        <w:rPr>
          <w:rFonts w:ascii="Arial" w:hAnsi="Arial" w:cs="Arial"/>
          <w:lang w:val="en-US"/>
        </w:rPr>
        <w:t>.</w:t>
      </w:r>
    </w:p>
    <w:p w:rsidR="00773144" w:rsidRPr="007B66D1" w:rsidRDefault="00773144" w:rsidP="00773144">
      <w:pPr>
        <w:pStyle w:val="ListParagraph"/>
        <w:spacing w:line="336" w:lineRule="auto"/>
        <w:ind w:left="1440"/>
        <w:jc w:val="both"/>
        <w:rPr>
          <w:rFonts w:ascii="Arial" w:hAnsi="Arial" w:cs="Arial"/>
        </w:rPr>
      </w:pPr>
    </w:p>
    <w:p w:rsidR="00773144" w:rsidRDefault="00773144" w:rsidP="00773144">
      <w:pPr>
        <w:pStyle w:val="ListParagraph"/>
        <w:numPr>
          <w:ilvl w:val="0"/>
          <w:numId w:val="5"/>
        </w:numPr>
        <w:spacing w:line="336" w:lineRule="auto"/>
        <w:jc w:val="both"/>
        <w:rPr>
          <w:rFonts w:ascii="Arial" w:hAnsi="Arial" w:cs="Arial"/>
          <w:lang w:val="en-US"/>
        </w:rPr>
      </w:pPr>
      <w:r w:rsidRPr="005D2B50">
        <w:rPr>
          <w:rFonts w:ascii="Arial" w:hAnsi="Arial" w:cs="Arial"/>
          <w:b/>
          <w:lang w:val="en-US"/>
        </w:rPr>
        <w:t>Post-1998 Case Allocation</w:t>
      </w:r>
      <w:r w:rsidRPr="005D2B50"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lang w:val="en-US"/>
        </w:rPr>
        <w:t>the CAM</w:t>
      </w:r>
      <w:r w:rsidRPr="005D2B50">
        <w:rPr>
          <w:rFonts w:ascii="Arial" w:hAnsi="Arial" w:cs="Arial"/>
          <w:lang w:val="en-US"/>
        </w:rPr>
        <w:t xml:space="preserve"> will </w:t>
      </w:r>
      <w:r>
        <w:rPr>
          <w:rFonts w:ascii="Arial" w:hAnsi="Arial" w:cs="Arial"/>
          <w:lang w:val="en-US"/>
        </w:rPr>
        <w:t>align itself to the following 4 prioritisation pillars:</w:t>
      </w:r>
    </w:p>
    <w:p w:rsidR="00773144" w:rsidRPr="003437C3" w:rsidRDefault="00773144" w:rsidP="00773144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 w:rsidRPr="003437C3">
        <w:rPr>
          <w:rFonts w:ascii="Arial" w:hAnsi="Arial" w:cs="Arial"/>
        </w:rPr>
        <w:t>Chronological Order</w:t>
      </w:r>
      <w:r>
        <w:rPr>
          <w:rFonts w:ascii="Arial" w:hAnsi="Arial" w:cs="Arial"/>
        </w:rPr>
        <w:t xml:space="preserve"> (oldest – recent);</w:t>
      </w:r>
      <w:r w:rsidRPr="003437C3">
        <w:rPr>
          <w:rFonts w:ascii="Arial" w:hAnsi="Arial" w:cs="Arial"/>
        </w:rPr>
        <w:t xml:space="preserve"> </w:t>
      </w:r>
    </w:p>
    <w:p w:rsidR="00773144" w:rsidRPr="003437C3" w:rsidRDefault="00773144" w:rsidP="00773144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Forensic potential;</w:t>
      </w:r>
    </w:p>
    <w:p w:rsidR="00773144" w:rsidRPr="003437C3" w:rsidRDefault="00773144" w:rsidP="00773144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Contemporary persons of interest; and</w:t>
      </w:r>
    </w:p>
    <w:p w:rsidR="00773144" w:rsidRDefault="00773144" w:rsidP="00773144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 w:rsidRPr="003437C3">
        <w:rPr>
          <w:rFonts w:ascii="Arial" w:hAnsi="Arial" w:cs="Arial"/>
        </w:rPr>
        <w:t>Inquests</w:t>
      </w:r>
      <w:r>
        <w:rPr>
          <w:rFonts w:ascii="Arial" w:hAnsi="Arial" w:cs="Arial"/>
        </w:rPr>
        <w:t>/Other Legal.</w:t>
      </w:r>
    </w:p>
    <w:p w:rsidR="00773144" w:rsidRDefault="00773144" w:rsidP="00773144">
      <w:pPr>
        <w:spacing w:line="336" w:lineRule="auto"/>
        <w:jc w:val="both"/>
        <w:rPr>
          <w:rFonts w:ascii="Arial" w:hAnsi="Arial" w:cs="Arial"/>
        </w:rPr>
      </w:pPr>
    </w:p>
    <w:p w:rsidR="00773144" w:rsidRPr="006D422E" w:rsidRDefault="00773144" w:rsidP="00773144">
      <w:pPr>
        <w:spacing w:line="33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</w:rPr>
        <w:t>‘The 4 Pillars’</w:t>
      </w:r>
    </w:p>
    <w:p w:rsidR="00773144" w:rsidRPr="006D422E" w:rsidRDefault="00773144" w:rsidP="00773144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t>Chronological Order</w:t>
      </w:r>
    </w:p>
    <w:p w:rsidR="00773144" w:rsidRPr="00EE3701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EE3701">
        <w:rPr>
          <w:rFonts w:ascii="Arial" w:hAnsi="Arial" w:cs="Arial"/>
        </w:rPr>
        <w:t>The oldest case within LIB workload is from 1969</w:t>
      </w:r>
      <w:r>
        <w:rPr>
          <w:rFonts w:ascii="Arial" w:hAnsi="Arial" w:cs="Arial"/>
        </w:rPr>
        <w:t xml:space="preserve"> and it is </w:t>
      </w:r>
      <w:r w:rsidRPr="00EE3701">
        <w:rPr>
          <w:rFonts w:ascii="Arial" w:hAnsi="Arial" w:cs="Arial"/>
        </w:rPr>
        <w:t>recognise</w:t>
      </w:r>
      <w:r>
        <w:rPr>
          <w:rFonts w:ascii="Arial" w:hAnsi="Arial" w:cs="Arial"/>
        </w:rPr>
        <w:t xml:space="preserve">d </w:t>
      </w:r>
      <w:r w:rsidRPr="00EE3701">
        <w:rPr>
          <w:rFonts w:ascii="Arial" w:hAnsi="Arial" w:cs="Arial"/>
        </w:rPr>
        <w:t xml:space="preserve">that families of these victims have been waiting an undue length of time for a review and/or re-investigation of their loved one’s murder.  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 xml:space="preserve">Section 75 duties under the Northern Ireland Act requires public authorities to have due regard for the need to promote quality of opportunity and </w:t>
      </w:r>
      <w:r>
        <w:rPr>
          <w:rFonts w:ascii="Arial" w:hAnsi="Arial" w:cs="Arial"/>
        </w:rPr>
        <w:t xml:space="preserve">therefore age in this case.  </w:t>
      </w:r>
    </w:p>
    <w:p w:rsidR="00773144" w:rsidRDefault="00773144" w:rsidP="00773144">
      <w:pPr>
        <w:spacing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A6F4D">
        <w:rPr>
          <w:rFonts w:ascii="Arial" w:hAnsi="Arial" w:cs="Arial"/>
        </w:rPr>
        <w:t xml:space="preserve">llocation of cases in </w:t>
      </w:r>
      <w:r>
        <w:rPr>
          <w:rFonts w:ascii="Arial" w:hAnsi="Arial" w:cs="Arial"/>
        </w:rPr>
        <w:t>the proposed chronological</w:t>
      </w:r>
      <w:r w:rsidRPr="005A6F4D">
        <w:rPr>
          <w:rFonts w:ascii="Arial" w:hAnsi="Arial" w:cs="Arial"/>
        </w:rPr>
        <w:t xml:space="preserve"> order </w:t>
      </w:r>
      <w:r>
        <w:rPr>
          <w:rFonts w:ascii="Arial" w:hAnsi="Arial" w:cs="Arial"/>
        </w:rPr>
        <w:t xml:space="preserve">after taking into consideration Forensic Potential, Contemporary Persons of Interest and Inquests/other legal, </w:t>
      </w:r>
      <w:r w:rsidRPr="005A6F4D">
        <w:rPr>
          <w:rFonts w:ascii="Arial" w:hAnsi="Arial" w:cs="Arial"/>
        </w:rPr>
        <w:t>is in line with this ethos</w:t>
      </w:r>
      <w:r>
        <w:rPr>
          <w:rFonts w:ascii="Arial" w:hAnsi="Arial" w:cs="Arial"/>
        </w:rPr>
        <w:t xml:space="preserve"> and a victim-focused approach</w:t>
      </w:r>
      <w:r w:rsidRPr="005A6F4D">
        <w:rPr>
          <w:rFonts w:ascii="Arial" w:hAnsi="Arial" w:cs="Arial"/>
        </w:rPr>
        <w:t>.</w:t>
      </w:r>
    </w:p>
    <w:p w:rsidR="00773144" w:rsidRDefault="00773144" w:rsidP="00773144">
      <w:pPr>
        <w:spacing w:line="336" w:lineRule="auto"/>
        <w:ind w:left="720"/>
        <w:jc w:val="both"/>
        <w:rPr>
          <w:rFonts w:ascii="Arial" w:hAnsi="Arial" w:cs="Arial"/>
        </w:rPr>
      </w:pPr>
    </w:p>
    <w:p w:rsidR="00773144" w:rsidRPr="006D422E" w:rsidRDefault="00773144" w:rsidP="00773144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lastRenderedPageBreak/>
        <w:t>Forensic Potential</w:t>
      </w:r>
    </w:p>
    <w:p w:rsidR="00773144" w:rsidRPr="005A6F4D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>With regards to ‘bringing offenders to justice’, the ACPO (Association of Chief Police Officers) guidelines on cold case review outline the identification of forensic potential a</w:t>
      </w:r>
      <w:r>
        <w:rPr>
          <w:rFonts w:ascii="Arial" w:hAnsi="Arial" w:cs="Arial"/>
        </w:rPr>
        <w:t xml:space="preserve">s critical to unresolved cases.  </w:t>
      </w:r>
      <w:r w:rsidRPr="005A6F4D">
        <w:rPr>
          <w:rFonts w:ascii="Arial" w:hAnsi="Arial" w:cs="Arial"/>
        </w:rPr>
        <w:t>This makes forensic findings a major driver in the field of legacy policing.</w:t>
      </w:r>
      <w:r>
        <w:rPr>
          <w:rFonts w:ascii="Arial" w:hAnsi="Arial" w:cs="Arial"/>
        </w:rPr>
        <w:t xml:space="preserve"> </w:t>
      </w:r>
      <w:r w:rsidRPr="005A6F4D">
        <w:rPr>
          <w:rFonts w:ascii="Arial" w:hAnsi="Arial" w:cs="Arial"/>
        </w:rPr>
        <w:t xml:space="preserve"> It follows that forensic evidence should form an aspect of case allocation.</w:t>
      </w:r>
    </w:p>
    <w:p w:rsidR="00773144" w:rsidRPr="005A6F4D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>For legacy policing, this will mean the identification of those historical cases for which exhibits are held and therefore may present the possibility for forensic potential.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Whereas the previous CSM prioritised cases on the basis of it having exhibits available only, the forensic potential of same was never explored until a case was allocated for review/investigation.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LIB’s </w:t>
      </w:r>
      <w:r w:rsidRPr="005A6F4D">
        <w:rPr>
          <w:rFonts w:ascii="Arial" w:hAnsi="Arial" w:cs="Arial"/>
        </w:rPr>
        <w:t xml:space="preserve">Major Crime Forensic Advisor (MCFA) will now adopt a proactive approach and review cases </w:t>
      </w:r>
      <w:r>
        <w:rPr>
          <w:rFonts w:ascii="Arial" w:hAnsi="Arial" w:cs="Arial"/>
        </w:rPr>
        <w:t>in advance to commence this</w:t>
      </w:r>
      <w:r w:rsidRPr="005A6F4D">
        <w:rPr>
          <w:rFonts w:ascii="Arial" w:hAnsi="Arial" w:cs="Arial"/>
        </w:rPr>
        <w:t xml:space="preserve"> assessment of </w:t>
      </w:r>
      <w:r>
        <w:rPr>
          <w:rFonts w:ascii="Arial" w:hAnsi="Arial" w:cs="Arial"/>
        </w:rPr>
        <w:t xml:space="preserve">available </w:t>
      </w:r>
      <w:r w:rsidRPr="005A6F4D">
        <w:rPr>
          <w:rFonts w:ascii="Arial" w:hAnsi="Arial" w:cs="Arial"/>
        </w:rPr>
        <w:t>forensic evidence</w:t>
      </w:r>
      <w:r>
        <w:rPr>
          <w:rFonts w:ascii="Arial" w:hAnsi="Arial" w:cs="Arial"/>
        </w:rPr>
        <w:t xml:space="preserve"> and make any submissions deemed appropriate</w:t>
      </w:r>
      <w:r w:rsidRPr="005A6F4D">
        <w:rPr>
          <w:rFonts w:ascii="Arial" w:hAnsi="Arial" w:cs="Arial"/>
        </w:rPr>
        <w:t xml:space="preserve">. </w:t>
      </w:r>
    </w:p>
    <w:p w:rsidR="00773144" w:rsidRDefault="00773144" w:rsidP="00773144">
      <w:pPr>
        <w:spacing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 xml:space="preserve">An assessment will begin in chronological order and cases assessed for potential forensic value will be repositioned as necessary.  </w:t>
      </w:r>
    </w:p>
    <w:p w:rsidR="00773144" w:rsidRPr="00037648" w:rsidRDefault="00773144" w:rsidP="00773144">
      <w:pPr>
        <w:spacing w:line="336" w:lineRule="auto"/>
        <w:jc w:val="both"/>
        <w:rPr>
          <w:rFonts w:ascii="Arial" w:hAnsi="Arial" w:cs="Arial"/>
          <w:b/>
          <w:color w:val="385623" w:themeColor="accent6" w:themeShade="80"/>
        </w:rPr>
      </w:pPr>
    </w:p>
    <w:p w:rsidR="00773144" w:rsidRPr="006D422E" w:rsidRDefault="00773144" w:rsidP="00773144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t>Contemporary Persons of Interest (CPOI)</w:t>
      </w:r>
    </w:p>
    <w:p w:rsidR="00773144" w:rsidRPr="005A6F4D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terms of keeping people safe and</w:t>
      </w:r>
      <w:r w:rsidRPr="005A6F4D">
        <w:rPr>
          <w:rFonts w:ascii="Arial" w:hAnsi="Arial" w:cs="Arial"/>
        </w:rPr>
        <w:t xml:space="preserve"> reducing harm, those individuals that are considered by the PSNI to </w:t>
      </w:r>
      <w:r>
        <w:rPr>
          <w:rFonts w:ascii="Arial" w:hAnsi="Arial" w:cs="Arial"/>
        </w:rPr>
        <w:t xml:space="preserve">continue to </w:t>
      </w:r>
      <w:r w:rsidRPr="005A6F4D">
        <w:rPr>
          <w:rFonts w:ascii="Arial" w:hAnsi="Arial" w:cs="Arial"/>
        </w:rPr>
        <w:t xml:space="preserve">pose a potential threat to the safety of society today, should play a role in the </w:t>
      </w:r>
      <w:r>
        <w:rPr>
          <w:rFonts w:ascii="Arial" w:hAnsi="Arial" w:cs="Arial"/>
        </w:rPr>
        <w:t>prioritisation</w:t>
      </w:r>
      <w:r w:rsidRPr="005A6F4D">
        <w:rPr>
          <w:rFonts w:ascii="Arial" w:hAnsi="Arial" w:cs="Arial"/>
        </w:rPr>
        <w:t xml:space="preserve"> of legacy cases.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 xml:space="preserve">For legacy policing, this will mean identifying those historical cases which feature </w:t>
      </w:r>
      <w:r>
        <w:rPr>
          <w:rFonts w:ascii="Arial" w:hAnsi="Arial" w:cs="Arial"/>
        </w:rPr>
        <w:t>CPOIs</w:t>
      </w:r>
      <w:r w:rsidRPr="005A6F4D">
        <w:rPr>
          <w:rFonts w:ascii="Arial" w:hAnsi="Arial" w:cs="Arial"/>
        </w:rPr>
        <w:t xml:space="preserve"> as potential suspects.</w:t>
      </w:r>
    </w:p>
    <w:p w:rsidR="00773144" w:rsidRDefault="00773144" w:rsidP="00773144">
      <w:pPr>
        <w:spacing w:before="105" w:line="360" w:lineRule="auto"/>
        <w:ind w:left="720" w:firstLine="6"/>
        <w:jc w:val="both"/>
        <w:rPr>
          <w:rFonts w:ascii="Arial" w:hAnsi="Arial" w:cs="Arial"/>
        </w:rPr>
      </w:pP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term ‘Contemporary</w:t>
      </w:r>
      <w:r w:rsidRPr="001521DB">
        <w:rPr>
          <w:rFonts w:ascii="Arial" w:hAnsi="Arial" w:cs="Arial"/>
          <w:spacing w:val="-4"/>
        </w:rPr>
        <w:t xml:space="preserve"> </w:t>
      </w:r>
      <w:r w:rsidRPr="001521DB">
        <w:rPr>
          <w:rFonts w:ascii="Arial" w:hAnsi="Arial" w:cs="Arial"/>
        </w:rPr>
        <w:t>Persons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of Interest’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(CPOI)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is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defined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as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any</w:t>
      </w:r>
      <w:r w:rsidRPr="001521DB">
        <w:rPr>
          <w:rFonts w:ascii="Arial" w:hAnsi="Arial" w:cs="Arial"/>
          <w:spacing w:val="-4"/>
        </w:rPr>
        <w:t xml:space="preserve"> </w:t>
      </w:r>
      <w:r w:rsidRPr="001521DB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  </w:t>
      </w:r>
      <w:r w:rsidRPr="001521DB">
        <w:rPr>
          <w:rFonts w:ascii="Arial" w:hAnsi="Arial" w:cs="Arial"/>
        </w:rPr>
        <w:t>of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interest to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PSNI</w:t>
      </w:r>
      <w:r w:rsidRPr="001521DB">
        <w:rPr>
          <w:rFonts w:ascii="Arial" w:hAnsi="Arial" w:cs="Arial"/>
          <w:spacing w:val="-6"/>
        </w:rPr>
        <w:t xml:space="preserve"> </w:t>
      </w:r>
      <w:r w:rsidRPr="001521DB">
        <w:rPr>
          <w:rFonts w:ascii="Arial" w:hAnsi="Arial" w:cs="Arial"/>
        </w:rPr>
        <w:t>in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connection with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any</w:t>
      </w:r>
      <w:r w:rsidRPr="001521DB">
        <w:rPr>
          <w:rFonts w:ascii="Arial" w:hAnsi="Arial" w:cs="Arial"/>
          <w:spacing w:val="-4"/>
        </w:rPr>
        <w:t xml:space="preserve"> </w:t>
      </w:r>
      <w:r w:rsidRPr="001521DB">
        <w:rPr>
          <w:rFonts w:ascii="Arial" w:hAnsi="Arial" w:cs="Arial"/>
        </w:rPr>
        <w:t>serious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crime</w:t>
      </w:r>
      <w:r w:rsidR="00063EAA">
        <w:rPr>
          <w:rFonts w:ascii="Arial" w:hAnsi="Arial" w:cs="Arial"/>
        </w:rPr>
        <w:t xml:space="preserve"> </w:t>
      </w:r>
      <w:r w:rsidRPr="001521DB">
        <w:rPr>
          <w:rFonts w:ascii="Arial" w:hAnsi="Arial" w:cs="Arial"/>
        </w:rPr>
        <w:t>offence.</w:t>
      </w:r>
      <w:r>
        <w:rPr>
          <w:rFonts w:ascii="Arial" w:hAnsi="Arial" w:cs="Arial"/>
        </w:rPr>
        <w:t xml:space="preserve"> </w:t>
      </w:r>
      <w:r w:rsidRPr="001521DB">
        <w:rPr>
          <w:rFonts w:ascii="Arial" w:hAnsi="Arial" w:cs="Arial"/>
        </w:rPr>
        <w:t xml:space="preserve"> Serious Crime is defined in the Police Act (1997), Section 93(4) as: </w:t>
      </w:r>
    </w:p>
    <w:p w:rsidR="00773144" w:rsidRPr="001521DB" w:rsidRDefault="00773144" w:rsidP="00773144">
      <w:pPr>
        <w:spacing w:before="105" w:line="360" w:lineRule="auto"/>
        <w:ind w:left="720" w:firstLine="6"/>
        <w:jc w:val="both"/>
        <w:rPr>
          <w:rFonts w:ascii="Arial" w:hAnsi="Arial" w:cs="Arial"/>
        </w:rPr>
      </w:pPr>
      <w:r w:rsidRPr="001521DB">
        <w:rPr>
          <w:rFonts w:ascii="Arial" w:hAnsi="Arial" w:cs="Arial"/>
        </w:rPr>
        <w:t>Conduct which</w:t>
      </w:r>
      <w:r>
        <w:rPr>
          <w:rFonts w:ascii="Arial" w:hAnsi="Arial" w:cs="Arial"/>
        </w:rPr>
        <w:t>:</w:t>
      </w:r>
    </w:p>
    <w:p w:rsidR="00773144" w:rsidRPr="001521DB" w:rsidRDefault="00773144" w:rsidP="00063EAA">
      <w:pPr>
        <w:pStyle w:val="ListParagraph"/>
        <w:widowControl w:val="0"/>
        <w:numPr>
          <w:ilvl w:val="0"/>
          <w:numId w:val="12"/>
        </w:numPr>
        <w:tabs>
          <w:tab w:val="left" w:pos="544"/>
          <w:tab w:val="left" w:pos="546"/>
        </w:tabs>
        <w:autoSpaceDE w:val="0"/>
        <w:autoSpaceDN w:val="0"/>
        <w:spacing w:line="360" w:lineRule="auto"/>
        <w:ind w:left="1446" w:right="445"/>
        <w:contextualSpacing w:val="0"/>
        <w:jc w:val="both"/>
        <w:rPr>
          <w:rFonts w:ascii="Arial" w:hAnsi="Arial" w:cs="Arial"/>
        </w:rPr>
      </w:pPr>
      <w:r w:rsidRPr="001521DB">
        <w:rPr>
          <w:rFonts w:ascii="Arial" w:hAnsi="Arial" w:cs="Arial"/>
        </w:rPr>
        <w:t>Involves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use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of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violence</w:t>
      </w:r>
      <w:r>
        <w:rPr>
          <w:rFonts w:ascii="Arial" w:hAnsi="Arial" w:cs="Arial"/>
        </w:rPr>
        <w:t>;</w:t>
      </w:r>
      <w:r w:rsidRPr="001521DB">
        <w:rPr>
          <w:rFonts w:ascii="Arial" w:hAnsi="Arial" w:cs="Arial"/>
        </w:rPr>
        <w:t xml:space="preserve"> results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in substantial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financial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gain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or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is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conducted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by</w:t>
      </w:r>
      <w:r w:rsidRPr="001521DB">
        <w:rPr>
          <w:rFonts w:ascii="Arial" w:hAnsi="Arial" w:cs="Arial"/>
          <w:spacing w:val="-4"/>
        </w:rPr>
        <w:t xml:space="preserve"> </w:t>
      </w:r>
      <w:r w:rsidRPr="001521DB">
        <w:rPr>
          <w:rFonts w:ascii="Arial" w:hAnsi="Arial" w:cs="Arial"/>
        </w:rPr>
        <w:t>a large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number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of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persons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in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pursuit of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a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common</w:t>
      </w:r>
      <w:r w:rsidRPr="001521DB">
        <w:rPr>
          <w:rFonts w:ascii="Arial" w:hAnsi="Arial" w:cs="Arial"/>
          <w:spacing w:val="40"/>
        </w:rPr>
        <w:t xml:space="preserve"> </w:t>
      </w:r>
      <w:r w:rsidRPr="001521DB">
        <w:rPr>
          <w:rFonts w:ascii="Arial" w:hAnsi="Arial" w:cs="Arial"/>
        </w:rPr>
        <w:t>purpose</w:t>
      </w:r>
      <w:r w:rsidRPr="001521DB">
        <w:rPr>
          <w:rFonts w:ascii="Arial" w:hAnsi="Arial" w:cs="Arial"/>
          <w:spacing w:val="-5"/>
        </w:rPr>
        <w:t xml:space="preserve"> </w:t>
      </w:r>
      <w:r w:rsidRPr="001521DB">
        <w:rPr>
          <w:rFonts w:ascii="Arial" w:hAnsi="Arial" w:cs="Arial"/>
        </w:rPr>
        <w:t>or</w:t>
      </w:r>
    </w:p>
    <w:p w:rsidR="00773144" w:rsidRPr="001521DB" w:rsidRDefault="00773144" w:rsidP="00063EAA">
      <w:pPr>
        <w:pStyle w:val="BodyText"/>
        <w:spacing w:before="18"/>
        <w:ind w:left="366"/>
      </w:pPr>
    </w:p>
    <w:p w:rsidR="00773144" w:rsidRPr="001521DB" w:rsidRDefault="00773144" w:rsidP="00063EAA">
      <w:pPr>
        <w:pStyle w:val="ListParagraph"/>
        <w:widowControl w:val="0"/>
        <w:numPr>
          <w:ilvl w:val="0"/>
          <w:numId w:val="12"/>
        </w:numPr>
        <w:tabs>
          <w:tab w:val="left" w:pos="544"/>
          <w:tab w:val="left" w:pos="546"/>
        </w:tabs>
        <w:autoSpaceDE w:val="0"/>
        <w:autoSpaceDN w:val="0"/>
        <w:spacing w:line="360" w:lineRule="auto"/>
        <w:ind w:left="1446" w:right="140"/>
        <w:contextualSpacing w:val="0"/>
        <w:jc w:val="both"/>
        <w:rPr>
          <w:rFonts w:ascii="Arial" w:hAnsi="Arial" w:cs="Arial"/>
        </w:rPr>
      </w:pP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offence, or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one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of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offences, is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an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offence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for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which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a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 xml:space="preserve">person </w:t>
      </w:r>
      <w:r w:rsidRPr="001521DB">
        <w:rPr>
          <w:rFonts w:ascii="Arial" w:hAnsi="Arial" w:cs="Arial"/>
        </w:rPr>
        <w:lastRenderedPageBreak/>
        <w:t>who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has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attained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the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age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of 21 and</w:t>
      </w:r>
      <w:r w:rsidRPr="001521DB">
        <w:rPr>
          <w:rFonts w:ascii="Arial" w:hAnsi="Arial" w:cs="Arial"/>
          <w:spacing w:val="-2"/>
        </w:rPr>
        <w:t xml:space="preserve"> </w:t>
      </w:r>
      <w:r w:rsidRPr="001521DB">
        <w:rPr>
          <w:rFonts w:ascii="Arial" w:hAnsi="Arial" w:cs="Arial"/>
        </w:rPr>
        <w:t>has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no</w:t>
      </w:r>
      <w:r w:rsidRPr="001521DB">
        <w:rPr>
          <w:rFonts w:ascii="Arial" w:hAnsi="Arial" w:cs="Arial"/>
          <w:spacing w:val="-4"/>
        </w:rPr>
        <w:t xml:space="preserve"> </w:t>
      </w:r>
      <w:r w:rsidRPr="001521DB">
        <w:rPr>
          <w:rFonts w:ascii="Arial" w:hAnsi="Arial" w:cs="Arial"/>
        </w:rPr>
        <w:t>previous</w:t>
      </w:r>
      <w:r w:rsidRPr="001521DB">
        <w:rPr>
          <w:rFonts w:ascii="Arial" w:hAnsi="Arial" w:cs="Arial"/>
          <w:spacing w:val="-1"/>
        </w:rPr>
        <w:t xml:space="preserve"> </w:t>
      </w:r>
      <w:r w:rsidRPr="001521DB">
        <w:rPr>
          <w:rFonts w:ascii="Arial" w:hAnsi="Arial" w:cs="Arial"/>
        </w:rPr>
        <w:t>convictions</w:t>
      </w:r>
      <w:r>
        <w:rPr>
          <w:rFonts w:ascii="Arial" w:hAnsi="Arial" w:cs="Arial"/>
        </w:rPr>
        <w:t>,</w:t>
      </w:r>
      <w:r w:rsidRPr="001521DB">
        <w:rPr>
          <w:rFonts w:ascii="Arial" w:hAnsi="Arial" w:cs="Arial"/>
          <w:spacing w:val="-3"/>
        </w:rPr>
        <w:t xml:space="preserve"> </w:t>
      </w:r>
      <w:r w:rsidRPr="001521DB">
        <w:rPr>
          <w:rFonts w:ascii="Arial" w:hAnsi="Arial" w:cs="Arial"/>
        </w:rPr>
        <w:t>could</w:t>
      </w:r>
      <w:r w:rsidRPr="001521DB">
        <w:rPr>
          <w:rFonts w:ascii="Arial" w:hAnsi="Arial" w:cs="Arial"/>
          <w:spacing w:val="40"/>
        </w:rPr>
        <w:t xml:space="preserve"> </w:t>
      </w:r>
      <w:r w:rsidRPr="001521DB">
        <w:rPr>
          <w:rFonts w:ascii="Arial" w:hAnsi="Arial" w:cs="Arial"/>
        </w:rPr>
        <w:t>reasonably be expected to be sentenced to imprisonment for a term of three years or more.</w:t>
      </w:r>
    </w:p>
    <w:p w:rsidR="00773144" w:rsidRPr="001521DB" w:rsidRDefault="00773144" w:rsidP="00773144">
      <w:pPr>
        <w:tabs>
          <w:tab w:val="left" w:pos="720"/>
        </w:tabs>
        <w:spacing w:after="120" w:line="336" w:lineRule="auto"/>
        <w:ind w:left="720"/>
        <w:jc w:val="both"/>
        <w:rPr>
          <w:rFonts w:ascii="Arial" w:hAnsi="Arial" w:cs="Arial"/>
        </w:rPr>
      </w:pP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LIB</w:t>
      </w:r>
      <w:r w:rsidRPr="005A6F4D">
        <w:rPr>
          <w:rFonts w:ascii="Arial" w:hAnsi="Arial" w:cs="Arial"/>
        </w:rPr>
        <w:t xml:space="preserve"> will conduct a</w:t>
      </w:r>
      <w:r w:rsidR="00063EAA">
        <w:rPr>
          <w:rFonts w:ascii="Arial" w:hAnsi="Arial" w:cs="Arial"/>
        </w:rPr>
        <w:t xml:space="preserve">n annual </w:t>
      </w:r>
      <w:r w:rsidRPr="005A6F4D">
        <w:rPr>
          <w:rFonts w:ascii="Arial" w:hAnsi="Arial" w:cs="Arial"/>
        </w:rPr>
        <w:t>review</w:t>
      </w:r>
      <w:r>
        <w:rPr>
          <w:rFonts w:ascii="Arial" w:hAnsi="Arial" w:cs="Arial"/>
        </w:rPr>
        <w:t>,</w:t>
      </w:r>
      <w:r w:rsidRPr="005A6F4D">
        <w:rPr>
          <w:rFonts w:ascii="Arial" w:hAnsi="Arial" w:cs="Arial"/>
        </w:rPr>
        <w:t xml:space="preserve"> or more frequently as required</w:t>
      </w:r>
      <w:r>
        <w:rPr>
          <w:rFonts w:ascii="Arial" w:hAnsi="Arial" w:cs="Arial"/>
        </w:rPr>
        <w:t>,</w:t>
      </w:r>
      <w:r w:rsidRPr="005A6F4D">
        <w:rPr>
          <w:rFonts w:ascii="Arial" w:hAnsi="Arial" w:cs="Arial"/>
        </w:rPr>
        <w:t xml:space="preserve"> or in line with available resource of the service’s CPOI listing to establish if any changes or additions have occurred. </w:t>
      </w:r>
      <w:r>
        <w:rPr>
          <w:rFonts w:ascii="Arial" w:hAnsi="Arial" w:cs="Arial"/>
        </w:rPr>
        <w:t xml:space="preserve"> </w:t>
      </w:r>
      <w:r w:rsidRPr="005A6F4D">
        <w:rPr>
          <w:rFonts w:ascii="Arial" w:hAnsi="Arial" w:cs="Arial"/>
        </w:rPr>
        <w:t>This will safeguard the relevance of the branch’s case allocation with the service’s position on contemporary threat.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Owing to the harm that CPOI</w:t>
      </w:r>
      <w:r w:rsidRPr="005A6F4D">
        <w:rPr>
          <w:rFonts w:ascii="Arial" w:hAnsi="Arial" w:cs="Arial"/>
        </w:rPr>
        <w:t>s may still have within the community</w:t>
      </w:r>
      <w:r>
        <w:rPr>
          <w:rFonts w:ascii="Arial" w:hAnsi="Arial" w:cs="Arial"/>
        </w:rPr>
        <w:t>,</w:t>
      </w:r>
      <w:r w:rsidRPr="005A6F4D">
        <w:rPr>
          <w:rFonts w:ascii="Arial" w:hAnsi="Arial" w:cs="Arial"/>
        </w:rPr>
        <w:t xml:space="preserve"> persons of such identified within our cases will be matrixed and prioriti</w:t>
      </w:r>
      <w:r>
        <w:rPr>
          <w:rFonts w:ascii="Arial" w:hAnsi="Arial" w:cs="Arial"/>
        </w:rPr>
        <w:t>s</w:t>
      </w:r>
      <w:r w:rsidRPr="005A6F4D">
        <w:rPr>
          <w:rFonts w:ascii="Arial" w:hAnsi="Arial" w:cs="Arial"/>
        </w:rPr>
        <w:t>ed above other cases.</w:t>
      </w:r>
    </w:p>
    <w:p w:rsidR="00773144" w:rsidRDefault="00773144" w:rsidP="00773144">
      <w:pPr>
        <w:spacing w:line="336" w:lineRule="auto"/>
        <w:ind w:left="720"/>
        <w:jc w:val="both"/>
        <w:rPr>
          <w:rFonts w:ascii="Arial" w:hAnsi="Arial" w:cs="Arial"/>
        </w:rPr>
      </w:pPr>
    </w:p>
    <w:p w:rsidR="00773144" w:rsidRPr="006D422E" w:rsidRDefault="00773144" w:rsidP="00773144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t>Inquests/Other Legal</w:t>
      </w:r>
    </w:p>
    <w:p w:rsidR="00773144" w:rsidRPr="008E3967" w:rsidRDefault="00773144" w:rsidP="00773144">
      <w:pPr>
        <w:spacing w:line="336" w:lineRule="auto"/>
        <w:ind w:left="720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</w:rPr>
        <w:t>The interdependence between legal proceedings and legacy investigations must be recognised</w:t>
      </w:r>
      <w:r w:rsidR="00063EAA">
        <w:rPr>
          <w:rFonts w:ascii="Arial" w:hAnsi="Arial" w:cs="Arial"/>
        </w:rPr>
        <w:t>.</w:t>
      </w:r>
    </w:p>
    <w:p w:rsidR="00773144" w:rsidRDefault="00773144" w:rsidP="00773144">
      <w:pPr>
        <w:spacing w:after="120" w:line="336" w:lineRule="auto"/>
        <w:ind w:left="720"/>
        <w:jc w:val="both"/>
        <w:rPr>
          <w:rFonts w:ascii="Arial" w:hAnsi="Arial" w:cs="Arial"/>
          <w:b/>
          <w:color w:val="385623" w:themeColor="accent6" w:themeShade="80"/>
        </w:rPr>
      </w:pPr>
    </w:p>
    <w:p w:rsidR="00773144" w:rsidRPr="006D422E" w:rsidRDefault="00773144" w:rsidP="00773144">
      <w:pPr>
        <w:spacing w:after="120" w:line="336" w:lineRule="auto"/>
        <w:ind w:left="720"/>
        <w:jc w:val="both"/>
        <w:rPr>
          <w:rFonts w:ascii="Arial" w:hAnsi="Arial" w:cs="Arial"/>
          <w:b/>
          <w:color w:val="385623" w:themeColor="accent6" w:themeShade="80"/>
        </w:rPr>
      </w:pPr>
      <w:r w:rsidRPr="006D422E">
        <w:rPr>
          <w:rFonts w:ascii="Arial" w:hAnsi="Arial" w:cs="Arial"/>
          <w:b/>
          <w:color w:val="385623" w:themeColor="accent6" w:themeShade="80"/>
        </w:rPr>
        <w:t>Exceptions</w:t>
      </w:r>
      <w:r w:rsidRPr="006D422E">
        <w:rPr>
          <w:rFonts w:ascii="Arial" w:hAnsi="Arial" w:cs="Arial"/>
          <w:color w:val="385623" w:themeColor="accent6" w:themeShade="80"/>
        </w:rPr>
        <w:t xml:space="preserve"> (</w:t>
      </w:r>
      <w:r w:rsidRPr="006D422E">
        <w:rPr>
          <w:rFonts w:ascii="Arial" w:hAnsi="Arial" w:cs="Arial"/>
          <w:b/>
          <w:i/>
          <w:color w:val="385623" w:themeColor="accent6" w:themeShade="80"/>
        </w:rPr>
        <w:t>agreed at ACC level)</w:t>
      </w:r>
    </w:p>
    <w:p w:rsidR="002F258E" w:rsidRDefault="00773144" w:rsidP="002F258E">
      <w:pPr>
        <w:spacing w:after="120" w:line="336" w:lineRule="auto"/>
        <w:ind w:left="720"/>
        <w:jc w:val="both"/>
        <w:rPr>
          <w:rFonts w:ascii="Arial" w:hAnsi="Arial" w:cs="Arial"/>
        </w:rPr>
      </w:pPr>
      <w:r w:rsidRPr="005A6F4D">
        <w:rPr>
          <w:rFonts w:ascii="Arial" w:hAnsi="Arial" w:cs="Arial"/>
        </w:rPr>
        <w:t>On occasion</w:t>
      </w:r>
      <w:r>
        <w:rPr>
          <w:rFonts w:ascii="Arial" w:hAnsi="Arial" w:cs="Arial"/>
        </w:rPr>
        <w:t>,</w:t>
      </w:r>
      <w:r w:rsidRPr="005A6F4D">
        <w:rPr>
          <w:rFonts w:ascii="Arial" w:hAnsi="Arial" w:cs="Arial"/>
        </w:rPr>
        <w:t xml:space="preserve"> cases may need to be taken out of date order for a number of compelling reasons</w:t>
      </w:r>
      <w:r w:rsidR="002F258E">
        <w:rPr>
          <w:rFonts w:ascii="Arial" w:hAnsi="Arial" w:cs="Arial"/>
        </w:rPr>
        <w:t>; the ACC will continue to have this</w:t>
      </w:r>
      <w:r w:rsidR="002F258E" w:rsidRPr="00B25393">
        <w:rPr>
          <w:rFonts w:ascii="Arial" w:hAnsi="Arial" w:cs="Arial"/>
        </w:rPr>
        <w:t xml:space="preserve"> discretion </w:t>
      </w:r>
      <w:r w:rsidR="002F258E">
        <w:rPr>
          <w:rFonts w:ascii="Arial" w:hAnsi="Arial" w:cs="Arial"/>
        </w:rPr>
        <w:t>and</w:t>
      </w:r>
      <w:r w:rsidR="002F258E" w:rsidRPr="00B25393">
        <w:rPr>
          <w:rFonts w:ascii="Arial" w:hAnsi="Arial" w:cs="Arial"/>
        </w:rPr>
        <w:t xml:space="preserve"> direct </w:t>
      </w:r>
      <w:r w:rsidR="002F258E">
        <w:rPr>
          <w:rFonts w:ascii="Arial" w:hAnsi="Arial" w:cs="Arial"/>
        </w:rPr>
        <w:t xml:space="preserve">that </w:t>
      </w:r>
      <w:r w:rsidR="002F258E" w:rsidRPr="00B25393">
        <w:rPr>
          <w:rFonts w:ascii="Arial" w:hAnsi="Arial" w:cs="Arial"/>
        </w:rPr>
        <w:t xml:space="preserve">a particular case be taken out of sequence where there are </w:t>
      </w:r>
      <w:r w:rsidR="002F258E" w:rsidRPr="00B25393">
        <w:rPr>
          <w:rFonts w:ascii="Arial" w:hAnsi="Arial" w:cs="Arial"/>
          <w:i/>
        </w:rPr>
        <w:t>very</w:t>
      </w:r>
      <w:r w:rsidR="002F258E" w:rsidRPr="00B25393">
        <w:rPr>
          <w:rFonts w:ascii="Arial" w:hAnsi="Arial" w:cs="Arial"/>
        </w:rPr>
        <w:t xml:space="preserve"> compelling circumstances</w:t>
      </w:r>
      <w:r w:rsidR="00063EAA">
        <w:rPr>
          <w:rFonts w:ascii="Arial" w:hAnsi="Arial" w:cs="Arial"/>
        </w:rPr>
        <w:t>.</w:t>
      </w:r>
      <w:r w:rsidR="002F258E" w:rsidRPr="00002096">
        <w:rPr>
          <w:rFonts w:ascii="Arial" w:hAnsi="Arial" w:cs="Arial"/>
        </w:rPr>
        <w:t xml:space="preserve"> </w:t>
      </w:r>
    </w:p>
    <w:p w:rsidR="00773144" w:rsidRDefault="002F258E" w:rsidP="00773144">
      <w:pPr>
        <w:spacing w:after="120" w:line="33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73144">
        <w:rPr>
          <w:rFonts w:ascii="Arial" w:hAnsi="Arial" w:cs="Arial"/>
        </w:rPr>
        <w:t xml:space="preserve">ach case will be considered on its own merits, however, the risk of a perceived victims’ hierarchy must always be taken into consideration. </w:t>
      </w:r>
    </w:p>
    <w:p w:rsidR="002F258E" w:rsidRDefault="002F258E" w:rsidP="00773144">
      <w:pPr>
        <w:spacing w:after="160" w:line="33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773144" w:rsidRPr="006D422E" w:rsidRDefault="00773144" w:rsidP="00063EAA">
      <w:pPr>
        <w:spacing w:after="160" w:line="259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</w:rPr>
        <w:t>Methodology</w:t>
      </w:r>
    </w:p>
    <w:p w:rsidR="00773144" w:rsidRDefault="00773144" w:rsidP="00773144">
      <w:pPr>
        <w:spacing w:afterLines="40" w:after="96" w:line="336" w:lineRule="auto"/>
        <w:jc w:val="both"/>
        <w:rPr>
          <w:rFonts w:ascii="Arial" w:hAnsi="Arial" w:cs="Arial"/>
        </w:rPr>
      </w:pPr>
      <w:r w:rsidRPr="00D35633">
        <w:rPr>
          <w:rFonts w:ascii="Arial" w:hAnsi="Arial" w:cs="Arial"/>
        </w:rPr>
        <w:t xml:space="preserve">Allocation </w:t>
      </w:r>
      <w:r>
        <w:rPr>
          <w:rFonts w:ascii="Arial" w:hAnsi="Arial" w:cs="Arial"/>
        </w:rPr>
        <w:t xml:space="preserve">will be by </w:t>
      </w:r>
      <w:r w:rsidRPr="00D35633">
        <w:rPr>
          <w:rFonts w:ascii="Arial" w:hAnsi="Arial" w:cs="Arial"/>
        </w:rPr>
        <w:t>taking alternate cases from each list based on their positions</w:t>
      </w:r>
      <w:r w:rsidR="00063EAA">
        <w:rPr>
          <w:rFonts w:ascii="Arial" w:hAnsi="Arial" w:cs="Arial"/>
        </w:rPr>
        <w:t xml:space="preserve"> and LIB capacity</w:t>
      </w:r>
      <w:r w:rsidRPr="00D35633">
        <w:rPr>
          <w:rFonts w:ascii="Arial" w:hAnsi="Arial" w:cs="Arial"/>
        </w:rPr>
        <w:t>.</w:t>
      </w:r>
    </w:p>
    <w:p w:rsidR="002F258E" w:rsidRDefault="002F258E" w:rsidP="00773144">
      <w:pPr>
        <w:spacing w:after="120" w:line="33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B32A37" w:rsidRDefault="00B32A37">
      <w:pPr>
        <w:spacing w:after="160" w:line="259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br w:type="page"/>
      </w:r>
    </w:p>
    <w:p w:rsidR="00773144" w:rsidRPr="006D422E" w:rsidRDefault="00773144" w:rsidP="00773144">
      <w:pPr>
        <w:spacing w:after="120" w:line="33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D422E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>Conclusion</w:t>
      </w:r>
    </w:p>
    <w:p w:rsidR="00773144" w:rsidRDefault="00773144" w:rsidP="00773144">
      <w:pPr>
        <w:pStyle w:val="ListParagraph"/>
        <w:numPr>
          <w:ilvl w:val="0"/>
          <w:numId w:val="1"/>
        </w:numPr>
        <w:spacing w:after="120" w:line="336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The R</w:t>
      </w:r>
      <w:r w:rsidR="00063EAA">
        <w:rPr>
          <w:rFonts w:ascii="Arial" w:hAnsi="Arial" w:cs="Arial"/>
        </w:rPr>
        <w:t xml:space="preserve">esearch, </w:t>
      </w:r>
      <w:r>
        <w:rPr>
          <w:rFonts w:ascii="Arial" w:hAnsi="Arial" w:cs="Arial"/>
        </w:rPr>
        <w:t>E</w:t>
      </w:r>
      <w:r w:rsidR="00063EAA">
        <w:rPr>
          <w:rFonts w:ascii="Arial" w:hAnsi="Arial" w:cs="Arial"/>
        </w:rPr>
        <w:t xml:space="preserve">ngagement, </w:t>
      </w:r>
      <w:r>
        <w:rPr>
          <w:rFonts w:ascii="Arial" w:hAnsi="Arial" w:cs="Arial"/>
        </w:rPr>
        <w:t>D</w:t>
      </w:r>
      <w:r w:rsidR="00063EAA">
        <w:rPr>
          <w:rFonts w:ascii="Arial" w:hAnsi="Arial" w:cs="Arial"/>
        </w:rPr>
        <w:t xml:space="preserve">evelopment &amp; </w:t>
      </w:r>
      <w:r>
        <w:rPr>
          <w:rFonts w:ascii="Arial" w:hAnsi="Arial" w:cs="Arial"/>
        </w:rPr>
        <w:t>S</w:t>
      </w:r>
      <w:r w:rsidR="00063EAA">
        <w:rPr>
          <w:rFonts w:ascii="Arial" w:hAnsi="Arial" w:cs="Arial"/>
        </w:rPr>
        <w:t>trategic Support (REDS) team</w:t>
      </w:r>
      <w:r>
        <w:rPr>
          <w:rFonts w:ascii="Arial" w:hAnsi="Arial" w:cs="Arial"/>
        </w:rPr>
        <w:t xml:space="preserve"> will continue to provide their critical engagement role and address requests for service from families further down the CAM, who are not prevented from engaging with LIB at any stage – </w:t>
      </w:r>
      <w:r w:rsidRPr="00662838">
        <w:rPr>
          <w:rFonts w:ascii="Arial" w:hAnsi="Arial" w:cs="Arial"/>
          <w:i/>
        </w:rPr>
        <w:t>this will continue to bridge the gap for families.</w:t>
      </w:r>
    </w:p>
    <w:p w:rsidR="00773144" w:rsidRDefault="00773144" w:rsidP="00773144">
      <w:pPr>
        <w:pStyle w:val="ListParagraph"/>
        <w:spacing w:after="120" w:line="336" w:lineRule="auto"/>
        <w:ind w:left="714"/>
        <w:jc w:val="both"/>
        <w:rPr>
          <w:rFonts w:ascii="Arial" w:hAnsi="Arial" w:cs="Arial"/>
          <w:i/>
        </w:rPr>
      </w:pPr>
    </w:p>
    <w:p w:rsidR="00773144" w:rsidRPr="00AA4FF7" w:rsidRDefault="00773144" w:rsidP="00773144">
      <w:pPr>
        <w:pStyle w:val="ListParagraph"/>
        <w:numPr>
          <w:ilvl w:val="0"/>
          <w:numId w:val="1"/>
        </w:numPr>
        <w:spacing w:after="160" w:line="336" w:lineRule="auto"/>
        <w:ind w:left="714" w:hanging="357"/>
        <w:jc w:val="both"/>
        <w:rPr>
          <w:rFonts w:ascii="Arial" w:hAnsi="Arial" w:cs="Arial"/>
          <w:i/>
        </w:rPr>
      </w:pPr>
      <w:r w:rsidRPr="00AA4FF7">
        <w:rPr>
          <w:rFonts w:ascii="Arial" w:hAnsi="Arial" w:cs="Arial"/>
        </w:rPr>
        <w:t xml:space="preserve">During the course of </w:t>
      </w:r>
      <w:r>
        <w:rPr>
          <w:rFonts w:ascii="Arial" w:hAnsi="Arial" w:cs="Arial"/>
        </w:rPr>
        <w:t>REDS’</w:t>
      </w:r>
      <w:r w:rsidRPr="00AA4FF7">
        <w:rPr>
          <w:rFonts w:ascii="Arial" w:hAnsi="Arial" w:cs="Arial"/>
        </w:rPr>
        <w:t xml:space="preserve"> research, </w:t>
      </w:r>
      <w:r>
        <w:rPr>
          <w:rFonts w:ascii="Arial" w:hAnsi="Arial" w:cs="Arial"/>
        </w:rPr>
        <w:t xml:space="preserve">should </w:t>
      </w:r>
      <w:r w:rsidRPr="00AA4FF7">
        <w:rPr>
          <w:rFonts w:ascii="Arial" w:hAnsi="Arial" w:cs="Arial"/>
        </w:rPr>
        <w:t>any specific lines of enquiry be identified, these can be considered</w:t>
      </w:r>
      <w:r w:rsidR="00063EAA">
        <w:rPr>
          <w:rFonts w:ascii="Arial" w:hAnsi="Arial" w:cs="Arial"/>
        </w:rPr>
        <w:t xml:space="preserve"> by LIB HO</w:t>
      </w:r>
      <w:r>
        <w:rPr>
          <w:rFonts w:ascii="Arial" w:hAnsi="Arial" w:cs="Arial"/>
        </w:rPr>
        <w:t>B/DHoB in respect of the following:</w:t>
      </w:r>
    </w:p>
    <w:p w:rsidR="00773144" w:rsidRPr="00AA4FF7" w:rsidRDefault="00773144" w:rsidP="00773144">
      <w:pPr>
        <w:pStyle w:val="ListParagraph"/>
        <w:numPr>
          <w:ilvl w:val="0"/>
          <w:numId w:val="11"/>
        </w:numPr>
        <w:spacing w:after="120" w:line="33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Leave until the case is formally reviewed</w:t>
      </w:r>
      <w:r w:rsidR="00063EAA">
        <w:rPr>
          <w:rFonts w:ascii="Arial" w:hAnsi="Arial" w:cs="Arial"/>
        </w:rPr>
        <w:t xml:space="preserve"> as per CAM position</w:t>
      </w:r>
      <w:r>
        <w:rPr>
          <w:rFonts w:ascii="Arial" w:hAnsi="Arial" w:cs="Arial"/>
        </w:rPr>
        <w:t>; or</w:t>
      </w:r>
    </w:p>
    <w:p w:rsidR="00773144" w:rsidRPr="00AA4FF7" w:rsidRDefault="00773144" w:rsidP="00773144">
      <w:pPr>
        <w:pStyle w:val="ListParagraph"/>
        <w:numPr>
          <w:ilvl w:val="0"/>
          <w:numId w:val="11"/>
        </w:numPr>
        <w:spacing w:after="120" w:line="33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Progress as a specific line of enquiry and reassess at the conclusion; or</w:t>
      </w:r>
    </w:p>
    <w:p w:rsidR="00773144" w:rsidRPr="00B25393" w:rsidRDefault="00773144" w:rsidP="00773144">
      <w:pPr>
        <w:pStyle w:val="ListParagraph"/>
        <w:numPr>
          <w:ilvl w:val="0"/>
          <w:numId w:val="11"/>
        </w:numPr>
        <w:spacing w:after="120" w:line="33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Escalate to ACC to consider taking the case out of sequence.</w:t>
      </w:r>
      <w:r w:rsidRPr="00AA4FF7">
        <w:rPr>
          <w:rFonts w:ascii="Arial" w:hAnsi="Arial" w:cs="Arial"/>
        </w:rPr>
        <w:t xml:space="preserve">  </w:t>
      </w:r>
    </w:p>
    <w:p w:rsidR="00773144" w:rsidRPr="00AA4FF7" w:rsidRDefault="00773144" w:rsidP="00773144">
      <w:pPr>
        <w:pStyle w:val="ListParagraph"/>
        <w:spacing w:after="120" w:line="336" w:lineRule="auto"/>
        <w:ind w:left="1434"/>
        <w:jc w:val="both"/>
        <w:rPr>
          <w:rFonts w:ascii="Arial" w:hAnsi="Arial" w:cs="Arial"/>
          <w:i/>
        </w:rPr>
      </w:pPr>
    </w:p>
    <w:p w:rsidR="00773144" w:rsidRPr="002F258E" w:rsidRDefault="00773144" w:rsidP="002F258E">
      <w:pPr>
        <w:rPr>
          <w:rFonts w:ascii="Arial" w:hAnsi="Arial" w:cs="Arial"/>
        </w:rPr>
      </w:pPr>
    </w:p>
    <w:p w:rsidR="00773144" w:rsidRPr="00B25393" w:rsidRDefault="00773144" w:rsidP="00773144">
      <w:pPr>
        <w:pStyle w:val="ListParagraph"/>
        <w:numPr>
          <w:ilvl w:val="0"/>
          <w:numId w:val="1"/>
        </w:numPr>
        <w:spacing w:after="120" w:line="384" w:lineRule="auto"/>
        <w:ind w:left="714" w:hanging="357"/>
        <w:jc w:val="both"/>
        <w:rPr>
          <w:rFonts w:ascii="Arial" w:hAnsi="Arial" w:cs="Arial"/>
        </w:rPr>
      </w:pPr>
      <w:r w:rsidRPr="00B25393">
        <w:rPr>
          <w:rFonts w:ascii="Arial" w:hAnsi="Arial" w:cs="Arial"/>
        </w:rPr>
        <w:t xml:space="preserve">The </w:t>
      </w:r>
      <w:r w:rsidR="001327C7">
        <w:rPr>
          <w:rFonts w:ascii="Arial" w:hAnsi="Arial" w:cs="Arial"/>
        </w:rPr>
        <w:t>CAM is</w:t>
      </w:r>
      <w:r w:rsidRPr="00B25393">
        <w:rPr>
          <w:rFonts w:ascii="Arial" w:hAnsi="Arial" w:cs="Arial"/>
        </w:rPr>
        <w:t>:</w:t>
      </w:r>
    </w:p>
    <w:p w:rsidR="00773144" w:rsidRDefault="00773144" w:rsidP="00773144">
      <w:pPr>
        <w:pStyle w:val="ListParagraph"/>
        <w:numPr>
          <w:ilvl w:val="0"/>
          <w:numId w:val="2"/>
        </w:numPr>
        <w:spacing w:afterLines="160" w:after="384" w:line="336" w:lineRule="auto"/>
        <w:ind w:left="1435"/>
        <w:jc w:val="both"/>
        <w:rPr>
          <w:rFonts w:ascii="Arial" w:hAnsi="Arial" w:cs="Arial"/>
        </w:rPr>
      </w:pPr>
      <w:r w:rsidRPr="00B06EA9">
        <w:rPr>
          <w:rFonts w:ascii="Arial" w:hAnsi="Arial" w:cs="Arial"/>
          <w:b/>
        </w:rPr>
        <w:t>Victim/Community Focused</w:t>
      </w:r>
      <w:r>
        <w:rPr>
          <w:rFonts w:ascii="Arial" w:hAnsi="Arial" w:cs="Arial"/>
        </w:rPr>
        <w:t xml:space="preserve"> – does not create a hierarchy, is s.75 compliant (without fear or favour), has the ability to still engage with families not in current review/investigation (REDS), cases can be taken out of sequence for compelling reasons (ACC), and </w:t>
      </w:r>
      <w:r w:rsidRPr="00586629">
        <w:rPr>
          <w:rFonts w:ascii="Arial" w:hAnsi="Arial" w:cs="Arial"/>
        </w:rPr>
        <w:t>risk</w:t>
      </w:r>
      <w:r>
        <w:rPr>
          <w:rFonts w:ascii="Arial" w:hAnsi="Arial" w:cs="Arial"/>
        </w:rPr>
        <w:t>s to the public are</w:t>
      </w:r>
      <w:r w:rsidRPr="00586629">
        <w:rPr>
          <w:rFonts w:ascii="Arial" w:hAnsi="Arial" w:cs="Arial"/>
        </w:rPr>
        <w:t xml:space="preserve"> minimised</w:t>
      </w:r>
      <w:r>
        <w:rPr>
          <w:rFonts w:ascii="Arial" w:hAnsi="Arial" w:cs="Arial"/>
        </w:rPr>
        <w:t xml:space="preserve"> (CPOI).</w:t>
      </w:r>
    </w:p>
    <w:p w:rsidR="00773144" w:rsidRDefault="00773144" w:rsidP="00773144">
      <w:pPr>
        <w:pStyle w:val="ListParagraph"/>
        <w:spacing w:afterLines="160" w:after="384" w:line="336" w:lineRule="auto"/>
        <w:ind w:left="1435"/>
        <w:jc w:val="both"/>
        <w:rPr>
          <w:rFonts w:ascii="Arial" w:hAnsi="Arial" w:cs="Arial"/>
          <w:i/>
        </w:rPr>
      </w:pPr>
      <w:r w:rsidRPr="00662838">
        <w:rPr>
          <w:rFonts w:ascii="Arial" w:hAnsi="Arial" w:cs="Arial"/>
          <w:i/>
        </w:rPr>
        <w:t>The current LIB Family Engagement Strategy will also continue to apply.</w:t>
      </w:r>
    </w:p>
    <w:p w:rsidR="00773144" w:rsidRPr="00662838" w:rsidRDefault="00773144" w:rsidP="00773144">
      <w:pPr>
        <w:pStyle w:val="ListParagraph"/>
        <w:spacing w:afterLines="160" w:after="384" w:line="336" w:lineRule="auto"/>
        <w:ind w:left="1435"/>
        <w:jc w:val="both"/>
        <w:rPr>
          <w:rFonts w:ascii="Arial" w:hAnsi="Arial" w:cs="Arial"/>
          <w:i/>
        </w:rPr>
      </w:pPr>
    </w:p>
    <w:p w:rsidR="00773144" w:rsidRDefault="00773144" w:rsidP="00773144">
      <w:pPr>
        <w:pStyle w:val="ListParagraph"/>
        <w:numPr>
          <w:ilvl w:val="0"/>
          <w:numId w:val="2"/>
        </w:numPr>
        <w:spacing w:after="120" w:line="336" w:lineRule="auto"/>
        <w:jc w:val="both"/>
        <w:rPr>
          <w:rFonts w:ascii="Arial" w:hAnsi="Arial" w:cs="Arial"/>
        </w:rPr>
      </w:pPr>
      <w:r w:rsidRPr="00B06EA9">
        <w:rPr>
          <w:rFonts w:ascii="Arial" w:hAnsi="Arial" w:cs="Arial"/>
          <w:b/>
        </w:rPr>
        <w:t>Workforce Focused</w:t>
      </w:r>
      <w:r>
        <w:rPr>
          <w:rFonts w:ascii="Arial" w:hAnsi="Arial" w:cs="Arial"/>
        </w:rPr>
        <w:t xml:space="preserve"> – best use of finite resources/budget</w:t>
      </w:r>
      <w:r w:rsidR="00063EAA">
        <w:rPr>
          <w:rFonts w:ascii="Arial" w:hAnsi="Arial" w:cs="Arial"/>
        </w:rPr>
        <w:t xml:space="preserve">, ensuring </w:t>
      </w:r>
      <w:r>
        <w:rPr>
          <w:rFonts w:ascii="Arial" w:hAnsi="Arial" w:cs="Arial"/>
        </w:rPr>
        <w:t xml:space="preserve">that statutory duties are being met (s32 &amp; Art 2). </w:t>
      </w:r>
    </w:p>
    <w:p w:rsidR="00773144" w:rsidRDefault="00773144" w:rsidP="00773144">
      <w:pPr>
        <w:spacing w:line="336" w:lineRule="auto"/>
      </w:pPr>
    </w:p>
    <w:p w:rsidR="008A0943" w:rsidRDefault="008A0943"/>
    <w:sectPr w:rsidR="008A0943" w:rsidSect="000572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44" w:rsidRDefault="00773144" w:rsidP="00773144">
      <w:r>
        <w:separator/>
      </w:r>
    </w:p>
  </w:endnote>
  <w:endnote w:type="continuationSeparator" w:id="0">
    <w:p w:rsidR="00773144" w:rsidRDefault="00773144" w:rsidP="0077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08" w:rsidRDefault="00613C20" w:rsidP="00057208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057208">
          <w:t xml:space="preserve">Page </w:t>
        </w:r>
        <w:r w:rsidR="00057208">
          <w:rPr>
            <w:b/>
            <w:bCs/>
          </w:rPr>
          <w:fldChar w:fldCharType="begin"/>
        </w:r>
        <w:r w:rsidR="00057208">
          <w:rPr>
            <w:b/>
            <w:bCs/>
          </w:rPr>
          <w:instrText xml:space="preserve"> PAGE </w:instrText>
        </w:r>
        <w:r w:rsidR="00057208">
          <w:rPr>
            <w:b/>
            <w:bCs/>
          </w:rPr>
          <w:fldChar w:fldCharType="separate"/>
        </w:r>
        <w:r>
          <w:rPr>
            <w:b/>
            <w:bCs/>
            <w:noProof/>
          </w:rPr>
          <w:t>6</w:t>
        </w:r>
        <w:r w:rsidR="00057208">
          <w:rPr>
            <w:b/>
            <w:bCs/>
          </w:rPr>
          <w:fldChar w:fldCharType="end"/>
        </w:r>
        <w:r w:rsidR="00057208">
          <w:t xml:space="preserve"> of </w:t>
        </w:r>
        <w:r w:rsidR="00063EAA" w:rsidRPr="00063EAA">
          <w:rPr>
            <w:b/>
          </w:rPr>
          <w:t>6</w:t>
        </w:r>
      </w:sdtContent>
    </w:sdt>
  </w:p>
  <w:p w:rsidR="0069377C" w:rsidRDefault="0069377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44" w:rsidRDefault="00773144" w:rsidP="00773144">
      <w:r>
        <w:separator/>
      </w:r>
    </w:p>
  </w:footnote>
  <w:footnote w:type="continuationSeparator" w:id="0">
    <w:p w:rsidR="00773144" w:rsidRDefault="00773144" w:rsidP="00773144">
      <w:r>
        <w:continuationSeparator/>
      </w:r>
    </w:p>
  </w:footnote>
  <w:footnote w:id="1">
    <w:p w:rsidR="00773144" w:rsidRPr="00F24459" w:rsidRDefault="00773144" w:rsidP="00773144">
      <w:pPr>
        <w:pStyle w:val="FootnoteText"/>
        <w:rPr>
          <w:rFonts w:asciiTheme="minorHAnsi" w:hAnsiTheme="minorHAnsi" w:cstheme="minorHAnsi"/>
          <w:lang w:val="en-GB"/>
        </w:rPr>
      </w:pPr>
      <w:r w:rsidRPr="00F24459">
        <w:rPr>
          <w:rStyle w:val="FootnoteReference"/>
          <w:rFonts w:asciiTheme="minorHAnsi" w:hAnsiTheme="minorHAnsi" w:cstheme="minorHAnsi"/>
        </w:rPr>
        <w:footnoteRef/>
      </w:r>
      <w:r w:rsidRPr="00F24459">
        <w:rPr>
          <w:rFonts w:asciiTheme="minorHAnsi" w:hAnsiTheme="minorHAnsi" w:cstheme="minorHAnsi"/>
        </w:rPr>
        <w:t xml:space="preserve"> </w:t>
      </w:r>
      <w:r w:rsidRPr="00F24459">
        <w:rPr>
          <w:rFonts w:asciiTheme="minorHAnsi" w:hAnsiTheme="minorHAnsi" w:cstheme="minorHAnsi"/>
          <w:b/>
        </w:rPr>
        <w:t>Brecknell v United Kingdom (2008) 46 EHRR 42</w:t>
      </w:r>
      <w:r w:rsidRPr="00F244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F244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Court considered </w:t>
      </w:r>
      <w:r w:rsidRPr="00F24459">
        <w:rPr>
          <w:rFonts w:asciiTheme="minorHAnsi" w:hAnsiTheme="minorHAnsi" w:cstheme="minorHAnsi"/>
        </w:rPr>
        <w:t>whether the coming to light of new evidence might revive the investiga</w:t>
      </w:r>
      <w:r>
        <w:rPr>
          <w:rFonts w:asciiTheme="minorHAnsi" w:hAnsiTheme="minorHAnsi" w:cstheme="minorHAnsi"/>
        </w:rPr>
        <w:t>tive obligation under Article 2 and concluded that</w:t>
      </w:r>
      <w:r w:rsidRPr="00F24459">
        <w:rPr>
          <w:rFonts w:asciiTheme="minorHAnsi" w:hAnsiTheme="minorHAnsi" w:cstheme="minorHAnsi"/>
        </w:rPr>
        <w:t>, in the context of the Human Rights Act (HRA), the critical date for the application of the test was the date of the entry into force of the HRA on 2 October 2000.</w:t>
      </w:r>
    </w:p>
  </w:footnote>
  <w:footnote w:id="2">
    <w:p w:rsidR="00773144" w:rsidRPr="00C366BD" w:rsidRDefault="00773144" w:rsidP="00773144">
      <w:pPr>
        <w:pStyle w:val="FootnoteText"/>
        <w:rPr>
          <w:lang w:val="en-GB"/>
        </w:rPr>
      </w:pPr>
      <w:r w:rsidRPr="00F24459">
        <w:rPr>
          <w:rStyle w:val="FootnoteReference"/>
          <w:rFonts w:asciiTheme="minorHAnsi" w:hAnsiTheme="minorHAnsi" w:cstheme="minorHAnsi"/>
        </w:rPr>
        <w:footnoteRef/>
      </w:r>
      <w:r w:rsidRPr="00F24459">
        <w:rPr>
          <w:rFonts w:asciiTheme="minorHAnsi" w:hAnsiTheme="minorHAnsi" w:cstheme="minorHAnsi"/>
        </w:rPr>
        <w:t xml:space="preserve"> </w:t>
      </w:r>
      <w:r w:rsidRPr="00F24459">
        <w:rPr>
          <w:rFonts w:asciiTheme="minorHAnsi" w:hAnsiTheme="minorHAnsi" w:cstheme="minorHAnsi"/>
          <w:b/>
        </w:rPr>
        <w:t>The Genuine Connection Test</w:t>
      </w:r>
      <w:r w:rsidRPr="00F24459">
        <w:rPr>
          <w:rFonts w:asciiTheme="minorHAnsi" w:hAnsiTheme="minorHAnsi" w:cstheme="minorHAnsi"/>
        </w:rPr>
        <w:t xml:space="preserve"> - creates international obligations 10 years before they were agreed.  Lord Kerr in the circumstances of case R v Finucane extended such connection test to 12 years.</w:t>
      </w:r>
    </w:p>
  </w:footnote>
  <w:footnote w:id="3">
    <w:p w:rsidR="00773144" w:rsidRPr="007C6350" w:rsidRDefault="00773144" w:rsidP="007731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Date of the Good Friday Agreement.</w:t>
      </w:r>
    </w:p>
  </w:footnote>
  <w:footnote w:id="4">
    <w:p w:rsidR="00D34DB6" w:rsidRPr="007B66D1" w:rsidRDefault="00D34DB6" w:rsidP="00D34DB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7B66D1">
        <w:t>McQuillan,</w:t>
      </w:r>
      <w:r>
        <w:t xml:space="preserve"> McKenna and McGuigan Judgments.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7C" w:rsidRPr="009D02FB" w:rsidRDefault="00613C20" w:rsidP="0069377C">
    <w:pPr>
      <w:tabs>
        <w:tab w:val="center" w:pos="4153"/>
        <w:tab w:val="right" w:pos="8306"/>
      </w:tabs>
      <w:jc w:val="center"/>
      <w:rPr>
        <w:rFonts w:ascii="Arial" w:hAnsi="Arial" w:cs="Arial"/>
      </w:rPr>
    </w:pPr>
    <w:sdt>
      <w:sdtPr>
        <w:id w:val="205452471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9377C" w:rsidRPr="0069377C">
      <w:rPr>
        <w:rFonts w:ascii="Arial" w:hAnsi="Arial" w:cs="Arial"/>
      </w:rPr>
      <w:t xml:space="preserve"> </w:t>
    </w:r>
    <w:r w:rsidR="0069377C">
      <w:rPr>
        <w:rFonts w:ascii="Arial" w:hAnsi="Arial" w:cs="Arial"/>
      </w:rPr>
      <w:t>OFFICIAL [Public</w:t>
    </w:r>
    <w:r w:rsidR="0069377C" w:rsidRPr="00B6535C">
      <w:rPr>
        <w:rFonts w:ascii="Arial" w:hAnsi="Arial" w:cs="Arial"/>
      </w:rPr>
      <w:t>]</w:t>
    </w:r>
  </w:p>
  <w:p w:rsidR="00586629" w:rsidRDefault="00613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D80"/>
    <w:multiLevelType w:val="hybridMultilevel"/>
    <w:tmpl w:val="CC4C2E68"/>
    <w:lvl w:ilvl="0" w:tplc="AE50CFB4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7D0FAE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2" w:tplc="5FA22CA0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3" w:tplc="43208740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28D28324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92CC462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6" w:tplc="C8A4D270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7" w:tplc="9CB676B2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ED50BE4A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9A24BB"/>
    <w:multiLevelType w:val="hybridMultilevel"/>
    <w:tmpl w:val="BB683E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175AC8"/>
    <w:multiLevelType w:val="hybridMultilevel"/>
    <w:tmpl w:val="1626F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B299B"/>
    <w:multiLevelType w:val="hybridMultilevel"/>
    <w:tmpl w:val="7BD0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B59"/>
    <w:multiLevelType w:val="hybridMultilevel"/>
    <w:tmpl w:val="F76E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F3EF4"/>
    <w:multiLevelType w:val="hybridMultilevel"/>
    <w:tmpl w:val="47166482"/>
    <w:lvl w:ilvl="0" w:tplc="FC4EF0E6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29800E9"/>
    <w:multiLevelType w:val="hybridMultilevel"/>
    <w:tmpl w:val="3F563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54F75"/>
    <w:multiLevelType w:val="hybridMultilevel"/>
    <w:tmpl w:val="37C88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A7151"/>
    <w:multiLevelType w:val="hybridMultilevel"/>
    <w:tmpl w:val="FD58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24DE"/>
    <w:multiLevelType w:val="hybridMultilevel"/>
    <w:tmpl w:val="A3E2C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C71B92"/>
    <w:multiLevelType w:val="hybridMultilevel"/>
    <w:tmpl w:val="FCF28EC6"/>
    <w:lvl w:ilvl="0" w:tplc="39D8643E">
      <w:start w:val="1"/>
      <w:numFmt w:val="lowerRoman"/>
      <w:lvlText w:val="(%1)"/>
      <w:lvlJc w:val="left"/>
      <w:pPr>
        <w:ind w:left="1434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8FA60FC"/>
    <w:multiLevelType w:val="hybridMultilevel"/>
    <w:tmpl w:val="F814AF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44"/>
    <w:rsid w:val="00057208"/>
    <w:rsid w:val="00063EAA"/>
    <w:rsid w:val="001327C7"/>
    <w:rsid w:val="002F258E"/>
    <w:rsid w:val="00613C20"/>
    <w:rsid w:val="0069377C"/>
    <w:rsid w:val="00773144"/>
    <w:rsid w:val="008A0943"/>
    <w:rsid w:val="009374A8"/>
    <w:rsid w:val="00B32A37"/>
    <w:rsid w:val="00D34DB6"/>
    <w:rsid w:val="00E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C60C1A-2607-4552-AF91-4F3AAC55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4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MAIN CONTENT,Bullet Style,List Paragraph2,OBC Bullet,List Paragraph11,List Paragraph12,F5 List Paragraph,Normal numbere"/>
    <w:basedOn w:val="Normal"/>
    <w:link w:val="ListParagraphChar"/>
    <w:uiPriority w:val="1"/>
    <w:qFormat/>
    <w:rsid w:val="00773144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MAIN CONTENT Char,Bullet Style Char,List Paragraph2 Char,OBC Bullet Char,Normal numbere Char"/>
    <w:link w:val="ListParagraph"/>
    <w:uiPriority w:val="1"/>
    <w:locked/>
    <w:rsid w:val="00773144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73144"/>
    <w:rPr>
      <w:rFonts w:ascii="Cambria" w:eastAsia="MS Mincho" w:hAnsi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144"/>
    <w:rPr>
      <w:rFonts w:ascii="Cambria" w:eastAsia="MS Mincho" w:hAnsi="Cambria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7731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3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144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144"/>
    <w:rPr>
      <w:rFonts w:ascii="Calibri" w:eastAsia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7314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3144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PSNI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 Chris (D/INSP)</dc:creator>
  <cp:keywords/>
  <dc:description/>
  <cp:lastModifiedBy>SCOTT Gareth</cp:lastModifiedBy>
  <cp:revision>2</cp:revision>
  <dcterms:created xsi:type="dcterms:W3CDTF">2025-09-04T11:10:00Z</dcterms:created>
  <dcterms:modified xsi:type="dcterms:W3CDTF">2025-09-04T11:10:00Z</dcterms:modified>
</cp:coreProperties>
</file>