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00288E" w:rsidRDefault="0000288E" w:rsidP="006A05E6">
      <w:pPr>
        <w:pStyle w:val="Title"/>
        <w:spacing w:line="208" w:lineRule="auto"/>
        <w:ind w:right="4602"/>
        <w:rPr>
          <w:color w:val="833C0B" w:themeColor="accent2" w:themeShade="80"/>
          <w:spacing w:val="-16"/>
          <w:w w:val="105"/>
        </w:rPr>
      </w:pPr>
      <w:bookmarkStart w:id="0" w:name="_GoBack"/>
      <w:bookmarkEnd w:id="0"/>
    </w:p>
    <w:p w:rsidR="0000288E" w:rsidRDefault="0000288E" w:rsidP="006A05E6">
      <w:pPr>
        <w:pStyle w:val="Title"/>
        <w:spacing w:line="208" w:lineRule="auto"/>
        <w:ind w:right="4602"/>
        <w:rPr>
          <w:color w:val="833C0B" w:themeColor="accent2" w:themeShade="80"/>
          <w:spacing w:val="-16"/>
          <w:w w:val="105"/>
        </w:rPr>
      </w:pPr>
    </w:p>
    <w:p w:rsidR="0000288E" w:rsidRDefault="0090386A" w:rsidP="006A05E6">
      <w:pPr>
        <w:pStyle w:val="Title"/>
        <w:spacing w:line="208" w:lineRule="auto"/>
        <w:ind w:right="4602"/>
        <w:rPr>
          <w:noProof/>
          <w:color w:val="FFFFFF" w:themeColor="background1"/>
          <w:lang w:eastAsia="en-GB"/>
        </w:rPr>
      </w:pPr>
      <w:r>
        <w:rPr>
          <w:noProof/>
          <w:color w:val="FFFFFF" w:themeColor="background1"/>
          <w:lang w:eastAsia="en-GB"/>
        </w:rPr>
        <w:t>Belfast</w:t>
      </w:r>
      <w:r w:rsidR="00AA1ECE">
        <w:rPr>
          <w:noProof/>
          <w:color w:val="FFFFFF" w:themeColor="background1"/>
          <w:lang w:eastAsia="en-GB"/>
        </w:rPr>
        <w:t xml:space="preserve"> District</w:t>
      </w:r>
    </w:p>
    <w:p w:rsidR="006A05E6" w:rsidRPr="0000288E" w:rsidRDefault="00AA1ECE" w:rsidP="00AA1ECE">
      <w:pPr>
        <w:pStyle w:val="Title"/>
        <w:spacing w:line="208" w:lineRule="auto"/>
        <w:ind w:left="0" w:right="4602"/>
        <w:rPr>
          <w:color w:val="FFFFFF" w:themeColor="background1"/>
        </w:rPr>
      </w:pPr>
      <w:r>
        <w:rPr>
          <w:color w:val="FFFFFF" w:themeColor="background1"/>
          <w:spacing w:val="-16"/>
          <w:w w:val="105"/>
        </w:rPr>
        <w:t xml:space="preserve">   </w:t>
      </w:r>
      <w:r w:rsidR="006A05E6" w:rsidRPr="0000288E">
        <w:rPr>
          <w:color w:val="FFFFFF" w:themeColor="background1"/>
          <w:spacing w:val="-28"/>
          <w:w w:val="105"/>
        </w:rPr>
        <w:t xml:space="preserve"> </w:t>
      </w:r>
      <w:r>
        <w:rPr>
          <w:color w:val="FFFFFF" w:themeColor="background1"/>
          <w:spacing w:val="-28"/>
          <w:w w:val="105"/>
        </w:rPr>
        <w:t xml:space="preserve">Local </w:t>
      </w:r>
      <w:r w:rsidR="006A05E6" w:rsidRPr="0000288E">
        <w:rPr>
          <w:color w:val="FFFFFF" w:themeColor="background1"/>
          <w:spacing w:val="-22"/>
          <w:w w:val="105"/>
        </w:rPr>
        <w:t xml:space="preserve">Policing </w:t>
      </w:r>
      <w:r w:rsidR="006A05E6" w:rsidRPr="0000288E">
        <w:rPr>
          <w:color w:val="FFFFFF" w:themeColor="background1"/>
          <w:spacing w:val="-29"/>
          <w:w w:val="105"/>
        </w:rPr>
        <w:t>Plan</w:t>
      </w:r>
    </w:p>
    <w:p w:rsidR="006A05E6" w:rsidRPr="0000288E" w:rsidRDefault="006A05E6" w:rsidP="006A05E6">
      <w:pPr>
        <w:spacing w:before="250"/>
        <w:ind w:left="910"/>
        <w:rPr>
          <w:rFonts w:ascii="Verdana"/>
          <w:color w:val="FFFFFF" w:themeColor="background1"/>
          <w:spacing w:val="-11"/>
          <w:sz w:val="36"/>
        </w:rPr>
      </w:pPr>
      <w:r w:rsidRPr="0000288E">
        <w:rPr>
          <w:rFonts w:ascii="Verdana"/>
          <w:color w:val="FFFFFF" w:themeColor="background1"/>
          <w:spacing w:val="-9"/>
          <w:sz w:val="36"/>
        </w:rPr>
        <w:t xml:space="preserve">2025 </w:t>
      </w:r>
      <w:r w:rsidRPr="0000288E">
        <w:rPr>
          <w:rFonts w:ascii="Verdana"/>
          <w:color w:val="FFFFFF" w:themeColor="background1"/>
          <w:sz w:val="36"/>
        </w:rPr>
        <w:t>–</w:t>
      </w:r>
      <w:r w:rsidRPr="0000288E">
        <w:rPr>
          <w:rFonts w:ascii="Verdana"/>
          <w:color w:val="FFFFFF" w:themeColor="background1"/>
          <w:spacing w:val="-74"/>
          <w:sz w:val="36"/>
        </w:rPr>
        <w:t xml:space="preserve"> </w:t>
      </w:r>
      <w:r w:rsidRPr="0000288E">
        <w:rPr>
          <w:rFonts w:ascii="Verdana"/>
          <w:color w:val="FFFFFF" w:themeColor="background1"/>
          <w:spacing w:val="-11"/>
          <w:sz w:val="36"/>
        </w:rPr>
        <w:t>2026</w:t>
      </w:r>
    </w:p>
    <w:p w:rsidR="006A05E6" w:rsidRDefault="006A05E6">
      <w:pPr>
        <w:widowControl/>
        <w:autoSpaceDE/>
        <w:autoSpaceDN/>
        <w:spacing w:after="160" w:line="259" w:lineRule="auto"/>
        <w:rPr>
          <w:rFonts w:ascii="Verdana"/>
          <w:spacing w:val="-11"/>
          <w:sz w:val="36"/>
        </w:rPr>
      </w:pPr>
      <w:r>
        <w:rPr>
          <w:rFonts w:ascii="Verdana"/>
          <w:spacing w:val="-11"/>
          <w:sz w:val="36"/>
        </w:rPr>
        <w:br w:type="page"/>
      </w:r>
    </w:p>
    <w:p w:rsid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>Outcome 1: We are Victim Focused</w:t>
      </w:r>
    </w:p>
    <w:p w:rsidR="0000288E" w:rsidRDefault="0000288E" w:rsidP="00396E8D">
      <w:pPr>
        <w:rPr>
          <w:b/>
          <w:color w:val="FFFFFF" w:themeColor="background1"/>
          <w:sz w:val="42"/>
        </w:rPr>
      </w:pPr>
    </w:p>
    <w:p w:rsidR="00396E8D" w:rsidRP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t xml:space="preserve">  </w:t>
      </w:r>
    </w:p>
    <w:p w:rsidR="00396E8D" w:rsidRDefault="00396E8D" w:rsidP="00396E8D">
      <w:pPr>
        <w:rPr>
          <w:b/>
          <w:sz w:val="42"/>
        </w:rPr>
      </w:pPr>
    </w:p>
    <w:tbl>
      <w:tblPr>
        <w:tblStyle w:val="TableGrid1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6D7751" w:rsidRPr="006D7751" w:rsidTr="0040759B">
        <w:tc>
          <w:tcPr>
            <w:tcW w:w="3114" w:type="dxa"/>
            <w:shd w:val="clear" w:color="auto" w:fill="000000" w:themeFill="text1"/>
          </w:tcPr>
          <w:p w:rsidR="006D7751" w:rsidRPr="006D7751" w:rsidRDefault="006D7751" w:rsidP="006D775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D7751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6D7751" w:rsidRPr="006D7751" w:rsidRDefault="006D7751" w:rsidP="006D775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D7751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6D7751" w:rsidRPr="006D7751" w:rsidTr="0040759B">
        <w:tc>
          <w:tcPr>
            <w:tcW w:w="3114" w:type="dxa"/>
          </w:tcPr>
          <w:p w:rsidR="006D7751" w:rsidRPr="006D7751" w:rsidRDefault="006D7751" w:rsidP="006D7751">
            <w:pPr>
              <w:jc w:val="right"/>
            </w:pPr>
            <w:r w:rsidRPr="006D7751">
              <w:t>1.1</w:t>
            </w:r>
          </w:p>
          <w:p w:rsidR="006D7751" w:rsidRPr="006D7751" w:rsidRDefault="006D7751" w:rsidP="006D7751">
            <w:pPr>
              <w:jc w:val="right"/>
            </w:pPr>
            <w:r w:rsidRPr="006D7751">
              <w:t xml:space="preserve">Effectiveness in Tackling Violence Against Women and Girls </w:t>
            </w:r>
          </w:p>
          <w:p w:rsidR="006D7751" w:rsidRPr="006D7751" w:rsidRDefault="006D7751" w:rsidP="006D7751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0915" w:type="dxa"/>
          </w:tcPr>
          <w:p w:rsidR="006D7751" w:rsidRPr="006D7751" w:rsidRDefault="006D7751" w:rsidP="006D7751">
            <w:pPr>
              <w:widowControl/>
              <w:numPr>
                <w:ilvl w:val="0"/>
                <w:numId w:val="2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Number of reported incidents of violence against women and girls.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2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Arrest and outcome rates for offences related to violence against women and girls.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2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Percentage reduction in repeat offences against the same victims.</w:t>
            </w:r>
          </w:p>
          <w:p w:rsidR="006D7751" w:rsidRPr="006D7751" w:rsidRDefault="006D7751" w:rsidP="006D7751">
            <w:pPr>
              <w:spacing w:line="256" w:lineRule="auto"/>
              <w:ind w:left="360"/>
              <w:contextualSpacing/>
              <w:rPr>
                <w:b/>
              </w:rPr>
            </w:pPr>
          </w:p>
        </w:tc>
      </w:tr>
      <w:tr w:rsidR="006D7751" w:rsidRPr="006D7751" w:rsidTr="0040759B">
        <w:tc>
          <w:tcPr>
            <w:tcW w:w="3114" w:type="dxa"/>
          </w:tcPr>
          <w:p w:rsidR="006D7751" w:rsidRPr="006D7751" w:rsidRDefault="006D7751" w:rsidP="006D7751">
            <w:pPr>
              <w:jc w:val="right"/>
            </w:pPr>
            <w:r w:rsidRPr="006D7751">
              <w:t>1.2</w:t>
            </w:r>
          </w:p>
          <w:p w:rsidR="006D7751" w:rsidRPr="006D7751" w:rsidRDefault="006D7751" w:rsidP="006D7751">
            <w:pPr>
              <w:jc w:val="right"/>
            </w:pPr>
            <w:r w:rsidRPr="006D7751">
              <w:t xml:space="preserve">Effectiveness in Tackling Domestic Abuse </w:t>
            </w:r>
          </w:p>
          <w:p w:rsidR="006D7751" w:rsidRPr="006D7751" w:rsidRDefault="006D7751" w:rsidP="006D7751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0915" w:type="dxa"/>
          </w:tcPr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Number of reported domestic abuse incidents.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Proportion of cases leading to charges and prosecutions.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Repeat victimisation rates in domestic abuse cases.</w:t>
            </w:r>
          </w:p>
          <w:p w:rsidR="006D7751" w:rsidRPr="006D7751" w:rsidRDefault="006D7751" w:rsidP="006D7751">
            <w:pPr>
              <w:rPr>
                <w:rFonts w:eastAsiaTheme="minorHAnsi"/>
                <w:b/>
              </w:rPr>
            </w:pPr>
          </w:p>
        </w:tc>
      </w:tr>
      <w:tr w:rsidR="006D7751" w:rsidRPr="006D7751" w:rsidTr="0040759B">
        <w:trPr>
          <w:trHeight w:val="1586"/>
        </w:trPr>
        <w:tc>
          <w:tcPr>
            <w:tcW w:w="3114" w:type="dxa"/>
          </w:tcPr>
          <w:p w:rsidR="006D7751" w:rsidRPr="006D7751" w:rsidRDefault="006D7751" w:rsidP="006D7751">
            <w:pPr>
              <w:jc w:val="right"/>
            </w:pPr>
            <w:r w:rsidRPr="006D7751">
              <w:t>1.</w:t>
            </w:r>
            <w:r w:rsidR="00AB59B7">
              <w:t>3</w:t>
            </w:r>
          </w:p>
          <w:p w:rsidR="006D7751" w:rsidRPr="006D7751" w:rsidRDefault="006D7751" w:rsidP="006D7751">
            <w:pPr>
              <w:jc w:val="right"/>
            </w:pPr>
            <w:r w:rsidRPr="006D7751">
              <w:t xml:space="preserve">Effectiveness in Tackling Hate Crime </w:t>
            </w:r>
          </w:p>
          <w:p w:rsidR="006D7751" w:rsidRPr="006D7751" w:rsidRDefault="006D7751" w:rsidP="006D7751">
            <w:pPr>
              <w:jc w:val="right"/>
            </w:pPr>
          </w:p>
        </w:tc>
        <w:tc>
          <w:tcPr>
            <w:tcW w:w="10915" w:type="dxa"/>
          </w:tcPr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Number of reported hate crime incidents.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Outcome rates for hate crime cases.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Community engagement activities with minority ethnic communities.</w:t>
            </w:r>
          </w:p>
          <w:p w:rsidR="006D7751" w:rsidRPr="006D7751" w:rsidRDefault="006D7751" w:rsidP="006D7751">
            <w:pPr>
              <w:rPr>
                <w:rFonts w:eastAsiaTheme="minorHAnsi"/>
                <w:b/>
              </w:rPr>
            </w:pPr>
          </w:p>
        </w:tc>
      </w:tr>
      <w:tr w:rsidR="006D7751" w:rsidRPr="006D7751" w:rsidTr="0040759B">
        <w:tc>
          <w:tcPr>
            <w:tcW w:w="3114" w:type="dxa"/>
          </w:tcPr>
          <w:p w:rsidR="006D7751" w:rsidRPr="006D7751" w:rsidRDefault="006D7751" w:rsidP="006D7751">
            <w:pPr>
              <w:jc w:val="right"/>
            </w:pPr>
            <w:r w:rsidRPr="006D7751">
              <w:t>1.</w:t>
            </w:r>
            <w:r w:rsidR="00AB59B7">
              <w:t>4</w:t>
            </w:r>
          </w:p>
          <w:p w:rsidR="006D7751" w:rsidRPr="006D7751" w:rsidRDefault="006D7751" w:rsidP="006D7751">
            <w:pPr>
              <w:jc w:val="right"/>
            </w:pPr>
            <w:r w:rsidRPr="006D7751">
              <w:t xml:space="preserve">Providing a High Quality Service to Victims </w:t>
            </w:r>
          </w:p>
          <w:p w:rsidR="006D7751" w:rsidRPr="006D7751" w:rsidRDefault="006D7751" w:rsidP="006D7751">
            <w:pPr>
              <w:jc w:val="right"/>
            </w:pPr>
          </w:p>
        </w:tc>
        <w:tc>
          <w:tcPr>
            <w:tcW w:w="10915" w:type="dxa"/>
          </w:tcPr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Overall victim satisfaction rates across PSNI and your District.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b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Average time taken to respond to emergency and priority calls.</w:t>
            </w:r>
          </w:p>
          <w:p w:rsidR="006D7751" w:rsidRPr="006D7751" w:rsidRDefault="006D7751" w:rsidP="006D7751">
            <w:pPr>
              <w:spacing w:line="256" w:lineRule="auto"/>
              <w:ind w:left="360"/>
              <w:contextualSpacing/>
              <w:rPr>
                <w:b/>
              </w:rPr>
            </w:pP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396E8D" w:rsidRDefault="00396E8D">
      <w:pPr>
        <w:widowControl/>
        <w:autoSpaceDE/>
        <w:autoSpaceDN/>
        <w:spacing w:after="160" w:line="259" w:lineRule="auto"/>
      </w:pPr>
      <w:r>
        <w:br w:type="page"/>
      </w:r>
    </w:p>
    <w:p w:rsidR="00396E8D" w:rsidRP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>Outcome 2: We have Safe and Engagement Communities</w:t>
      </w:r>
    </w:p>
    <w:p w:rsidR="0000288E" w:rsidRDefault="0000288E" w:rsidP="00396E8D">
      <w:pPr>
        <w:rPr>
          <w:b/>
          <w:sz w:val="42"/>
        </w:rPr>
      </w:pPr>
    </w:p>
    <w:p w:rsidR="0000288E" w:rsidRDefault="0000288E" w:rsidP="00396E8D">
      <w:pPr>
        <w:rPr>
          <w:b/>
          <w:sz w:val="42"/>
        </w:rPr>
      </w:pPr>
    </w:p>
    <w:p w:rsidR="00396E8D" w:rsidRDefault="00396E8D" w:rsidP="00396E8D">
      <w:pPr>
        <w:rPr>
          <w:b/>
          <w:sz w:val="42"/>
        </w:rPr>
      </w:pPr>
    </w:p>
    <w:tbl>
      <w:tblPr>
        <w:tblStyle w:val="TableGrid2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6D7751" w:rsidRPr="006D7751" w:rsidTr="0040759B">
        <w:tc>
          <w:tcPr>
            <w:tcW w:w="3114" w:type="dxa"/>
            <w:shd w:val="clear" w:color="auto" w:fill="000000" w:themeFill="text1"/>
          </w:tcPr>
          <w:p w:rsidR="006D7751" w:rsidRPr="006D7751" w:rsidRDefault="006D7751" w:rsidP="006D775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D7751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6D7751" w:rsidRPr="006D7751" w:rsidRDefault="006D7751" w:rsidP="006D775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D7751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6D7751" w:rsidRPr="006D7751" w:rsidTr="0040759B">
        <w:tc>
          <w:tcPr>
            <w:tcW w:w="3114" w:type="dxa"/>
          </w:tcPr>
          <w:p w:rsidR="006D7751" w:rsidRPr="006D7751" w:rsidRDefault="006D7751" w:rsidP="006D7751">
            <w:pPr>
              <w:jc w:val="right"/>
            </w:pPr>
            <w:r w:rsidRPr="006D7751">
              <w:t>2.1</w:t>
            </w:r>
          </w:p>
          <w:p w:rsidR="006D7751" w:rsidRPr="006D7751" w:rsidRDefault="006D7751" w:rsidP="006D7751">
            <w:pPr>
              <w:jc w:val="right"/>
              <w:rPr>
                <w:rFonts w:eastAsiaTheme="minorHAnsi"/>
                <w:b/>
              </w:rPr>
            </w:pPr>
            <w:r w:rsidRPr="006D7751">
              <w:t>Level of Public Confidence in Policing</w:t>
            </w:r>
          </w:p>
        </w:tc>
        <w:tc>
          <w:tcPr>
            <w:tcW w:w="10915" w:type="dxa"/>
          </w:tcPr>
          <w:p w:rsidR="006D7751" w:rsidRPr="006D7751" w:rsidRDefault="006D7751" w:rsidP="006D7751">
            <w:pPr>
              <w:widowControl/>
              <w:numPr>
                <w:ilvl w:val="0"/>
                <w:numId w:val="2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Results from public confidence surveys - include the victim satisfaction survey.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2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PONI complaint information.</w:t>
            </w:r>
          </w:p>
          <w:p w:rsidR="006D7751" w:rsidRPr="006D7751" w:rsidRDefault="006D7751" w:rsidP="006D7751">
            <w:pPr>
              <w:rPr>
                <w:rFonts w:eastAsiaTheme="minorHAnsi"/>
                <w:b/>
              </w:rPr>
            </w:pPr>
          </w:p>
        </w:tc>
      </w:tr>
      <w:tr w:rsidR="006D7751" w:rsidRPr="006D7751" w:rsidTr="0040759B">
        <w:tc>
          <w:tcPr>
            <w:tcW w:w="3114" w:type="dxa"/>
          </w:tcPr>
          <w:p w:rsidR="006D7751" w:rsidRPr="006D7751" w:rsidRDefault="006D7751" w:rsidP="006D7751">
            <w:pPr>
              <w:jc w:val="right"/>
            </w:pPr>
            <w:r w:rsidRPr="006D7751">
              <w:t>2.2</w:t>
            </w:r>
          </w:p>
          <w:p w:rsidR="006D7751" w:rsidRPr="006D7751" w:rsidRDefault="006D7751" w:rsidP="006D7751">
            <w:pPr>
              <w:jc w:val="right"/>
              <w:rPr>
                <w:rFonts w:eastAsiaTheme="minorHAnsi"/>
                <w:b/>
              </w:rPr>
            </w:pPr>
            <w:r w:rsidRPr="006D7751">
              <w:t>People Feel Safe in Their Community</w:t>
            </w:r>
          </w:p>
        </w:tc>
        <w:tc>
          <w:tcPr>
            <w:tcW w:w="10915" w:type="dxa"/>
          </w:tcPr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Number of neighbourhood watch programs supported.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Reduction in anti-social behaviour incidents</w:t>
            </w:r>
          </w:p>
        </w:tc>
      </w:tr>
      <w:tr w:rsidR="006D7751" w:rsidRPr="006D7751" w:rsidTr="0040759B">
        <w:tc>
          <w:tcPr>
            <w:tcW w:w="3114" w:type="dxa"/>
          </w:tcPr>
          <w:p w:rsidR="006D7751" w:rsidRPr="006D7751" w:rsidRDefault="006D7751" w:rsidP="006D7751">
            <w:pPr>
              <w:jc w:val="right"/>
            </w:pPr>
            <w:r w:rsidRPr="006D7751">
              <w:t>2.3</w:t>
            </w:r>
          </w:p>
          <w:p w:rsidR="006D7751" w:rsidRPr="006D7751" w:rsidRDefault="006D7751" w:rsidP="006D7751">
            <w:pPr>
              <w:jc w:val="right"/>
            </w:pPr>
            <w:r w:rsidRPr="006D7751">
              <w:t>Effectiveness in Tackling Repeat Offending</w:t>
            </w:r>
          </w:p>
        </w:tc>
        <w:tc>
          <w:tcPr>
            <w:tcW w:w="10915" w:type="dxa"/>
          </w:tcPr>
          <w:p w:rsidR="006D7751" w:rsidRPr="006D7751" w:rsidRDefault="006D7751" w:rsidP="006D7751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Report on the work of ROU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eastAsiaTheme="minorHAnsi"/>
                <w:sz w:val="24"/>
                <w:szCs w:val="24"/>
                <w:lang w:eastAsia="en-GB"/>
              </w:rPr>
            </w:pPr>
            <w:r w:rsidRPr="006D7751">
              <w:rPr>
                <w:rFonts w:eastAsiaTheme="minorHAnsi"/>
                <w:sz w:val="24"/>
                <w:szCs w:val="24"/>
                <w:lang w:eastAsia="en-GB"/>
              </w:rPr>
              <w:t>Information on diversionary programs</w:t>
            </w:r>
          </w:p>
          <w:p w:rsidR="006D7751" w:rsidRPr="006D7751" w:rsidRDefault="006D7751" w:rsidP="006D7751">
            <w:pPr>
              <w:ind w:left="360"/>
              <w:rPr>
                <w:highlight w:val="yellow"/>
              </w:rPr>
            </w:pPr>
          </w:p>
        </w:tc>
      </w:tr>
      <w:tr w:rsidR="006D7751" w:rsidRPr="006D7751" w:rsidTr="0040759B">
        <w:tc>
          <w:tcPr>
            <w:tcW w:w="3114" w:type="dxa"/>
          </w:tcPr>
          <w:p w:rsidR="006D7751" w:rsidRPr="006D7751" w:rsidRDefault="006D7751" w:rsidP="006D7751">
            <w:pPr>
              <w:jc w:val="right"/>
            </w:pPr>
            <w:r w:rsidRPr="006D7751">
              <w:t>2.4</w:t>
            </w:r>
          </w:p>
          <w:p w:rsidR="006D7751" w:rsidRPr="006D7751" w:rsidRDefault="006D7751" w:rsidP="006D7751">
            <w:pPr>
              <w:jc w:val="right"/>
            </w:pPr>
            <w:r w:rsidRPr="006D7751">
              <w:t>Effectiveness of Working in Partnership with PCSPs and Local Communities to Provide Solutions to Local Problems</w:t>
            </w:r>
          </w:p>
        </w:tc>
        <w:tc>
          <w:tcPr>
            <w:tcW w:w="10915" w:type="dxa"/>
          </w:tcPr>
          <w:p w:rsidR="006D7751" w:rsidRPr="006D7751" w:rsidRDefault="006D7751" w:rsidP="006D7751">
            <w:pPr>
              <w:widowControl/>
              <w:numPr>
                <w:ilvl w:val="0"/>
                <w:numId w:val="4"/>
              </w:numPr>
              <w:autoSpaceDE/>
              <w:autoSpaceDN/>
              <w:spacing w:line="259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Number of joint initiatives launched by PCSP / DPCSPs</w:t>
            </w:r>
          </w:p>
          <w:p w:rsidR="006D7751" w:rsidRPr="006D7751" w:rsidRDefault="006D7751" w:rsidP="006D7751">
            <w:pPr>
              <w:widowControl/>
              <w:numPr>
                <w:ilvl w:val="0"/>
                <w:numId w:val="4"/>
              </w:numPr>
              <w:autoSpaceDE/>
              <w:autoSpaceDN/>
              <w:spacing w:line="259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>Community projects funded or supported by the police service</w:t>
            </w:r>
          </w:p>
          <w:p w:rsidR="006D7751" w:rsidRPr="006D7751" w:rsidRDefault="006D7751" w:rsidP="006D7751"/>
        </w:tc>
      </w:tr>
      <w:tr w:rsidR="006D7751" w:rsidRPr="006D7751" w:rsidTr="0040759B">
        <w:tc>
          <w:tcPr>
            <w:tcW w:w="3114" w:type="dxa"/>
          </w:tcPr>
          <w:p w:rsidR="006D7751" w:rsidRPr="006D7751" w:rsidRDefault="006D7751" w:rsidP="006D7751">
            <w:pPr>
              <w:jc w:val="right"/>
            </w:pPr>
            <w:r w:rsidRPr="006D7751">
              <w:t>2.</w:t>
            </w:r>
            <w:r w:rsidR="00AB59B7">
              <w:t>5</w:t>
            </w:r>
          </w:p>
          <w:p w:rsidR="006D7751" w:rsidRPr="006D7751" w:rsidRDefault="006D7751" w:rsidP="006D7751">
            <w:pPr>
              <w:jc w:val="right"/>
            </w:pPr>
            <w:r w:rsidRPr="006D7751">
              <w:t>Delivery of effective outcomes for Reported crimes</w:t>
            </w:r>
          </w:p>
        </w:tc>
        <w:tc>
          <w:tcPr>
            <w:tcW w:w="10915" w:type="dxa"/>
          </w:tcPr>
          <w:p w:rsidR="006D7751" w:rsidRPr="006D7751" w:rsidRDefault="006D7751" w:rsidP="006D7751">
            <w:pPr>
              <w:widowControl/>
              <w:numPr>
                <w:ilvl w:val="0"/>
                <w:numId w:val="4"/>
              </w:numPr>
              <w:autoSpaceDE/>
              <w:autoSpaceDN/>
              <w:spacing w:line="259" w:lineRule="auto"/>
              <w:contextualSpacing/>
              <w:rPr>
                <w:rFonts w:eastAsiaTheme="minorHAnsi"/>
                <w:lang w:eastAsia="en-GB"/>
              </w:rPr>
            </w:pPr>
            <w:r w:rsidRPr="006D7751">
              <w:rPr>
                <w:rFonts w:eastAsiaTheme="minorHAnsi"/>
                <w:lang w:eastAsia="en-GB"/>
              </w:rPr>
              <w:t xml:space="preserve">Overall crime and outcome rates including Domestic Burglary and Drug Offences </w:t>
            </w:r>
          </w:p>
          <w:p w:rsidR="006D7751" w:rsidRPr="006D7751" w:rsidRDefault="006D7751" w:rsidP="006D7751">
            <w:pPr>
              <w:spacing w:line="259" w:lineRule="auto"/>
              <w:ind w:left="360"/>
              <w:contextualSpacing/>
            </w:pPr>
          </w:p>
        </w:tc>
      </w:tr>
    </w:tbl>
    <w:p w:rsidR="00396E8D" w:rsidRDefault="00396E8D">
      <w:pPr>
        <w:widowControl/>
        <w:autoSpaceDE/>
        <w:autoSpaceDN/>
        <w:spacing w:after="160" w:line="259" w:lineRule="auto"/>
      </w:pPr>
      <w:r>
        <w:br w:type="page"/>
      </w:r>
    </w:p>
    <w:p w:rsidR="00396E8D" w:rsidRP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>Outcome 3: We have a Representative, Valued and Enabled Workforce</w:t>
      </w:r>
    </w:p>
    <w:p w:rsidR="00396E8D" w:rsidRDefault="00396E8D" w:rsidP="00396E8D">
      <w:pPr>
        <w:rPr>
          <w:b/>
          <w:sz w:val="42"/>
        </w:rPr>
      </w:pPr>
    </w:p>
    <w:p w:rsidR="0000288E" w:rsidRDefault="0000288E" w:rsidP="00396E8D">
      <w:pPr>
        <w:rPr>
          <w:b/>
          <w:sz w:val="42"/>
        </w:rPr>
      </w:pPr>
    </w:p>
    <w:tbl>
      <w:tblPr>
        <w:tblStyle w:val="TableGrid3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9F48C0" w:rsidRPr="009F48C0" w:rsidTr="0040759B">
        <w:tc>
          <w:tcPr>
            <w:tcW w:w="3114" w:type="dxa"/>
            <w:shd w:val="clear" w:color="auto" w:fill="000000" w:themeFill="text1"/>
          </w:tcPr>
          <w:p w:rsidR="009F48C0" w:rsidRPr="009F48C0" w:rsidRDefault="009F48C0" w:rsidP="009F48C0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9F48C0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9F48C0" w:rsidRPr="009F48C0" w:rsidRDefault="009F48C0" w:rsidP="009F48C0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9F48C0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9F48C0" w:rsidRPr="009F48C0" w:rsidTr="0040759B">
        <w:tc>
          <w:tcPr>
            <w:tcW w:w="3114" w:type="dxa"/>
          </w:tcPr>
          <w:p w:rsidR="009F48C0" w:rsidRPr="009F48C0" w:rsidRDefault="009F48C0" w:rsidP="009F48C0">
            <w:pPr>
              <w:jc w:val="right"/>
            </w:pPr>
            <w:r w:rsidRPr="009F48C0">
              <w:t>3.1</w:t>
            </w:r>
          </w:p>
          <w:p w:rsidR="009F48C0" w:rsidRPr="009F48C0" w:rsidRDefault="009F48C0" w:rsidP="009F48C0">
            <w:pPr>
              <w:jc w:val="right"/>
              <w:rPr>
                <w:rFonts w:eastAsiaTheme="minorHAnsi"/>
                <w:b/>
              </w:rPr>
            </w:pPr>
            <w:r w:rsidRPr="009F48C0">
              <w:t xml:space="preserve">Standards of Professionalism and Conduct </w:t>
            </w:r>
          </w:p>
        </w:tc>
        <w:tc>
          <w:tcPr>
            <w:tcW w:w="10915" w:type="dxa"/>
          </w:tcPr>
          <w:p w:rsidR="009F48C0" w:rsidRPr="009F48C0" w:rsidRDefault="009F48C0" w:rsidP="009F48C0">
            <w:pPr>
              <w:widowControl/>
              <w:numPr>
                <w:ilvl w:val="0"/>
                <w:numId w:val="3"/>
              </w:numPr>
              <w:autoSpaceDE/>
              <w:autoSpaceDN/>
              <w:spacing w:line="256" w:lineRule="auto"/>
              <w:contextualSpacing/>
              <w:rPr>
                <w:rFonts w:eastAsiaTheme="minorHAnsi"/>
                <w:lang w:eastAsia="en-GB"/>
              </w:rPr>
            </w:pPr>
            <w:r w:rsidRPr="009F48C0">
              <w:rPr>
                <w:rFonts w:eastAsiaTheme="minorHAnsi"/>
                <w:lang w:eastAsia="en-GB"/>
              </w:rPr>
              <w:t>Body-worn cameras usage compliance, include Stop and Search.</w:t>
            </w:r>
          </w:p>
          <w:p w:rsidR="009F48C0" w:rsidRPr="009F48C0" w:rsidRDefault="009F48C0" w:rsidP="009F48C0">
            <w:pPr>
              <w:rPr>
                <w:rFonts w:eastAsiaTheme="minorHAnsi"/>
                <w:b/>
              </w:rPr>
            </w:pPr>
          </w:p>
        </w:tc>
      </w:tr>
    </w:tbl>
    <w:p w:rsidR="00152BB2" w:rsidRPr="006A05E6" w:rsidRDefault="00A9718B"/>
    <w:sectPr w:rsidR="00152BB2" w:rsidRPr="006A05E6" w:rsidSect="000028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908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CB5" w:rsidRDefault="00813CB5" w:rsidP="0000288E">
      <w:r>
        <w:separator/>
      </w:r>
    </w:p>
  </w:endnote>
  <w:endnote w:type="continuationSeparator" w:id="0">
    <w:p w:rsidR="00813CB5" w:rsidRDefault="00813CB5" w:rsidP="0000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8B" w:rsidRDefault="00A971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5787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288E" w:rsidRDefault="000028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718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0288E" w:rsidRDefault="00002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8B" w:rsidRDefault="00A971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CB5" w:rsidRDefault="00813CB5" w:rsidP="0000288E">
      <w:r>
        <w:separator/>
      </w:r>
    </w:p>
  </w:footnote>
  <w:footnote w:type="continuationSeparator" w:id="0">
    <w:p w:rsidR="00813CB5" w:rsidRDefault="00813CB5" w:rsidP="0000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8B" w:rsidRDefault="00A971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8E" w:rsidRDefault="0000288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C48DC" wp14:editId="68640E5D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92130" cy="1480782"/>
              <wp:effectExtent l="0" t="0" r="0" b="5715"/>
              <wp:wrapNone/>
              <wp:docPr id="2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92130" cy="1480782"/>
                      </a:xfrm>
                      <a:custGeom>
                        <a:avLst/>
                        <a:gdLst>
                          <a:gd name="T0" fmla="*/ 16838 w 16838"/>
                          <a:gd name="T1" fmla="*/ 0 h 3060"/>
                          <a:gd name="T2" fmla="*/ 0 w 16838"/>
                          <a:gd name="T3" fmla="*/ 0 h 3060"/>
                          <a:gd name="T4" fmla="*/ 0 w 16838"/>
                          <a:gd name="T5" fmla="*/ 3059 h 3060"/>
                          <a:gd name="T6" fmla="*/ 16838 w 16838"/>
                          <a:gd name="T7" fmla="*/ 2324 h 3060"/>
                          <a:gd name="T8" fmla="*/ 16838 w 16838"/>
                          <a:gd name="T9" fmla="*/ 0 h 30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6838" h="3060">
                            <a:moveTo>
                              <a:pt x="16838" y="0"/>
                            </a:moveTo>
                            <a:lnTo>
                              <a:pt x="0" y="0"/>
                            </a:lnTo>
                            <a:lnTo>
                              <a:pt x="0" y="3059"/>
                            </a:lnTo>
                            <a:lnTo>
                              <a:pt x="16838" y="2324"/>
                            </a:lnTo>
                            <a:lnTo>
                              <a:pt x="16838" y="0"/>
                            </a:lnTo>
                            <a:close/>
                          </a:path>
                        </a:pathLst>
                      </a:custGeom>
                      <a:solidFill>
                        <a:srgbClr val="0056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3A947C" id="Freeform 24" o:spid="_x0000_s1026" style="position:absolute;margin-left:790.7pt;margin-top:-35.4pt;width:841.9pt;height:116.6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" path="m16838,l,,,3059,16838,2324,16838,xe" fillcolor="#005655" stroked="f">
              <v:path arrowok="t" o:connecttype="custom" o:connectlocs="10692130,0;0,0;0,1480298;10692130,1124620;10692130,0" o:connectangles="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5B" w:rsidRDefault="0000005B">
    <w:pPr>
      <w:pStyle w:val="Header"/>
    </w:pPr>
    <w:r w:rsidRPr="0000288E">
      <w:rPr>
        <w:noProof/>
        <w:color w:val="FFFFFF" w:themeColor="background1"/>
        <w:lang w:eastAsia="en-GB"/>
      </w:rPr>
      <w:drawing>
        <wp:anchor distT="0" distB="0" distL="114300" distR="114300" simplePos="0" relativeHeight="251661312" behindDoc="1" locked="0" layoutInCell="1" allowOverlap="1" wp14:anchorId="69DE293D" wp14:editId="0AE0E61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7050" cy="7558424"/>
          <wp:effectExtent l="0" t="0" r="0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07AFF"/>
    <w:multiLevelType w:val="hybridMultilevel"/>
    <w:tmpl w:val="A4643B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93FC5"/>
    <w:multiLevelType w:val="hybridMultilevel"/>
    <w:tmpl w:val="3DE4BC9E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B1515"/>
    <w:multiLevelType w:val="hybridMultilevel"/>
    <w:tmpl w:val="44829FF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E6"/>
    <w:rsid w:val="0000005B"/>
    <w:rsid w:val="0000288E"/>
    <w:rsid w:val="00222C27"/>
    <w:rsid w:val="00243FE0"/>
    <w:rsid w:val="00396E8D"/>
    <w:rsid w:val="006A05E6"/>
    <w:rsid w:val="006D7751"/>
    <w:rsid w:val="007D6C41"/>
    <w:rsid w:val="00813CB5"/>
    <w:rsid w:val="0090386A"/>
    <w:rsid w:val="00954232"/>
    <w:rsid w:val="009F48C0"/>
    <w:rsid w:val="00A9718B"/>
    <w:rsid w:val="00AA1ECE"/>
    <w:rsid w:val="00AB59B7"/>
    <w:rsid w:val="00C813B2"/>
    <w:rsid w:val="00CC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05E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A05E6"/>
    <w:pPr>
      <w:spacing w:before="282"/>
      <w:ind w:left="910" w:right="9209"/>
    </w:pPr>
    <w:rPr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6A05E6"/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34"/>
    <w:qFormat/>
    <w:rsid w:val="006A05E6"/>
    <w:pPr>
      <w:widowControl/>
      <w:autoSpaceDE/>
      <w:autoSpaceDN/>
      <w:ind w:left="720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A0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8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E"/>
    <w:rPr>
      <w:rFonts w:ascii="Segoe UI" w:eastAsia="Arial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6D7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D7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F4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2025-10-28T09:49:00Z</dcterms:created>
  <dcterms:modified xsi:type="dcterms:W3CDTF">2025-10-28T09:49:00Z</dcterms:modified>
</cp:coreProperties>
</file>